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March 30, 2026</w:t>
      </w:r>
    </w:p>
    <w:p>
      <w:pPr>
        <w:spacing w:after="0" w:line="16"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878840</wp:posOffset>
            </wp:positionH>
            <wp:positionV relativeFrom="paragraph">
              <wp:posOffset>60325</wp:posOffset>
            </wp:positionV>
            <wp:extent cx="54171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93345</wp:posOffset>
            </wp:positionV>
            <wp:extent cx="54171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1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95885</wp:posOffset>
            </wp:positionV>
            <wp:extent cx="11353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96520</wp:posOffset>
            </wp:positionV>
            <wp:extent cx="11353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ANNEXON, INC.</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102235</wp:posOffset>
            </wp:positionV>
            <wp:extent cx="11353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22" w:lineRule="exact"/>
        <w:rPr>
          <w:sz w:val="24"/>
          <w:szCs w:val="24"/>
          <w:color w:val="auto"/>
        </w:rPr>
      </w:pPr>
    </w:p>
    <w:tbl>
      <w:tblPr>
        <w:tblLayout w:type="fixed"/>
        <w:tblInd w:w="2840" w:type="dxa"/>
        <w:tblCellMar>
          <w:top w:w="0" w:type="dxa"/>
          <w:left w:w="0" w:type="dxa"/>
          <w:bottom w:w="0" w:type="dxa"/>
          <w:right w:w="0" w:type="dxa"/>
        </w:tblCellMar>
      </w:tblPr>
      <w:tr>
        <w:trPr>
          <w:trHeight w:val="157"/>
        </w:trPr>
        <w:tc>
          <w:tcPr>
            <w:tcW w:w="2920" w:type="dxa"/>
            <w:vAlign w:val="bottom"/>
          </w:tcPr>
          <w:p>
            <w:pPr>
              <w:jc w:val="center"/>
              <w:ind w:right="1484"/>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600" w:type="dxa"/>
            <w:vAlign w:val="bottom"/>
          </w:tcPr>
          <w:p>
            <w:pPr>
              <w:jc w:val="center"/>
              <w:ind w:left="1504"/>
              <w:spacing w:after="0"/>
              <w:rPr>
                <w:sz w:val="20"/>
                <w:szCs w:val="20"/>
                <w:color w:val="auto"/>
              </w:rPr>
            </w:pPr>
            <w:r>
              <w:rPr>
                <w:rFonts w:ascii="Times New Roman" w:cs="Times New Roman" w:eastAsia="Times New Roman" w:hAnsi="Times New Roman"/>
                <w:sz w:val="13"/>
                <w:szCs w:val="13"/>
                <w:b w:val="1"/>
                <w:bCs w:val="1"/>
                <w:color w:val="auto"/>
                <w:w w:val="95"/>
              </w:rPr>
              <w:t>27-5414423</w:t>
            </w:r>
          </w:p>
        </w:tc>
      </w:tr>
      <w:tr>
        <w:trPr>
          <w:trHeight w:val="115"/>
        </w:trPr>
        <w:tc>
          <w:tcPr>
            <w:tcW w:w="2920" w:type="dxa"/>
            <w:vAlign w:val="bottom"/>
          </w:tcPr>
          <w:p>
            <w:pPr>
              <w:jc w:val="center"/>
              <w:ind w:right="1504"/>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600" w:type="dxa"/>
            <w:vAlign w:val="bottom"/>
          </w:tcPr>
          <w:p>
            <w:pPr>
              <w:jc w:val="center"/>
              <w:ind w:left="1504"/>
              <w:spacing w:after="0"/>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7"/>
        </w:trPr>
        <w:tc>
          <w:tcPr>
            <w:tcW w:w="2920" w:type="dxa"/>
            <w:vAlign w:val="bottom"/>
          </w:tcPr>
          <w:p>
            <w:pPr>
              <w:jc w:val="center"/>
              <w:ind w:right="1484"/>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2600" w:type="dxa"/>
            <w:vAlign w:val="bottom"/>
          </w:tcPr>
          <w:p>
            <w:pPr>
              <w:jc w:val="center"/>
              <w:ind w:left="1504"/>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93980</wp:posOffset>
            </wp:positionV>
            <wp:extent cx="11353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1400 Sierra Point Parkway, Bldg C, Suite 200</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Brisbane, CA 94005</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(650) 822-5500</w:t>
      </w:r>
    </w:p>
    <w:p>
      <w:pPr>
        <w:spacing w:after="0" w:line="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95250</wp:posOffset>
            </wp:positionV>
            <wp:extent cx="11353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Douglas Love, Esq.</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Annexon, Inc.</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1400 Sierra Point Parkway, Bldg C, Suite 200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Brisbane, California 94005</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(650) 822-5500</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95250</wp:posOffset>
            </wp:positionV>
            <wp:extent cx="11353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80" w:lineRule="exact"/>
        <w:rPr>
          <w:sz w:val="24"/>
          <w:szCs w:val="24"/>
          <w:color w:val="auto"/>
        </w:rPr>
      </w:pPr>
    </w:p>
    <w:tbl>
      <w:tblPr>
        <w:tblLayout w:type="fixed"/>
        <w:tblInd w:w="232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211"/>
        </w:trPr>
        <w:tc>
          <w:tcPr>
            <w:tcW w:w="274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5"/>
              </w:rPr>
              <w:t>Jennifer Lew</w:t>
            </w: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5"/>
              </w:rPr>
              <w:t>Divakar Gupta</w:t>
            </w:r>
          </w:p>
        </w:tc>
      </w:tr>
      <w:tr>
        <w:trPr>
          <w:trHeight w:val="157"/>
        </w:trPr>
        <w:tc>
          <w:tcPr>
            <w:tcW w:w="27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Chief Financial Officer</w:t>
            </w: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3"/>
              </w:rPr>
              <w:t>Kristen VanderPas</w:t>
            </w:r>
          </w:p>
        </w:tc>
      </w:tr>
      <w:tr>
        <w:trPr>
          <w:trHeight w:val="157"/>
        </w:trPr>
        <w:tc>
          <w:tcPr>
            <w:tcW w:w="274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5"/>
              </w:rPr>
              <w:t>Annexon, Inc.</w:t>
            </w: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4"/>
              </w:rPr>
              <w:t>Alexander Gefter</w:t>
            </w:r>
          </w:p>
        </w:tc>
      </w:tr>
      <w:tr>
        <w:trPr>
          <w:trHeight w:val="157"/>
        </w:trPr>
        <w:tc>
          <w:tcPr>
            <w:tcW w:w="274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5"/>
              </w:rPr>
              <w:t>1400 Sierra Point Parkway, Bldg C, Suite 200</w:t>
            </w: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5"/>
              </w:rPr>
              <w:t>Cooley LLP</w:t>
            </w:r>
          </w:p>
        </w:tc>
      </w:tr>
      <w:tr>
        <w:trPr>
          <w:trHeight w:val="157"/>
        </w:trPr>
        <w:tc>
          <w:tcPr>
            <w:tcW w:w="27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Brisbane, California 94005</w:t>
            </w: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4"/>
              </w:rPr>
              <w:t>55 Hudson Yards</w:t>
            </w:r>
          </w:p>
        </w:tc>
      </w:tr>
      <w:tr>
        <w:trPr>
          <w:trHeight w:val="157"/>
        </w:trPr>
        <w:tc>
          <w:tcPr>
            <w:tcW w:w="27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5"/>
              </w:rPr>
              <w:t>Telephone: (650) 822-5500</w:t>
            </w: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5"/>
              </w:rPr>
              <w:t>New York, New York 10001</w:t>
            </w:r>
          </w:p>
        </w:tc>
      </w:tr>
      <w:tr>
        <w:trPr>
          <w:trHeight w:val="166"/>
        </w:trPr>
        <w:tc>
          <w:tcPr>
            <w:tcW w:w="2740" w:type="dxa"/>
            <w:vAlign w:val="bottom"/>
          </w:tcPr>
          <w:p>
            <w:pPr>
              <w:spacing w:after="0"/>
              <w:rPr>
                <w:sz w:val="14"/>
                <w:szCs w:val="14"/>
                <w:color w:val="auto"/>
              </w:rPr>
            </w:pPr>
          </w:p>
        </w:tc>
        <w:tc>
          <w:tcPr>
            <w:tcW w:w="35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5"/>
              </w:rPr>
              <w:t>Telephone: (212) 479-6000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108585</wp:posOffset>
            </wp:positionV>
            <wp:extent cx="1135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From time to time after the effective date of this Registration Statement</w:t>
      </w:r>
    </w:p>
    <w:p>
      <w:pPr>
        <w:spacing w:after="0" w:line="1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0"/>
          <w:szCs w:val="10"/>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95250</wp:posOffset>
            </wp:positionV>
            <wp:extent cx="11353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64" w:lineRule="exact"/>
        <w:rPr>
          <w:sz w:val="24"/>
          <w:szCs w:val="24"/>
          <w:color w:val="auto"/>
        </w:rPr>
      </w:pPr>
    </w:p>
    <w:p>
      <w:pPr>
        <w:ind w:left="138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left="1380" w:right="319"/>
        <w:spacing w:after="0" w:line="16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1380" w:right="27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1380" w:right="71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9" w:lineRule="exact"/>
        <w:rPr>
          <w:sz w:val="24"/>
          <w:szCs w:val="24"/>
          <w:color w:val="auto"/>
        </w:rPr>
      </w:pPr>
    </w:p>
    <w:p>
      <w:pPr>
        <w:ind w:left="1380" w:right="69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1380" w:right="33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1380" w:right="279"/>
        <w:spacing w:after="0" w:line="26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380" w:type="dxa"/>
        <w:tblCellMar>
          <w:top w:w="0" w:type="dxa"/>
          <w:left w:w="0" w:type="dxa"/>
          <w:bottom w:w="0" w:type="dxa"/>
          <w:right w:w="0" w:type="dxa"/>
        </w:tblCellMar>
      </w:tblPr>
      <w:tr>
        <w:trPr>
          <w:trHeight w:val="178"/>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8"/>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12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ind w:left="1380" w:right="539"/>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878840</wp:posOffset>
            </wp:positionH>
            <wp:positionV relativeFrom="paragraph">
              <wp:posOffset>44450</wp:posOffset>
            </wp:positionV>
            <wp:extent cx="54171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77470</wp:posOffset>
            </wp:positionV>
            <wp:extent cx="541718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100" w:lineRule="exact"/>
        <w:rPr>
          <w:sz w:val="20"/>
          <w:szCs w:val="20"/>
          <w:color w:val="auto"/>
        </w:rPr>
      </w:pPr>
    </w:p>
    <w:p>
      <w:pPr>
        <w:ind w:left="2140" w:right="459" w:hanging="343"/>
        <w:spacing w:after="0" w:line="280"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which covers the offering, issuance and sale by us, or selling securityholders, of shares of registrant’s common stock, shares of registrant’s preferred stock, debt securities and/or warrants from time to time in one or more offerings; and</w:t>
      </w:r>
    </w:p>
    <w:p>
      <w:pPr>
        <w:spacing w:after="0" w:line="53" w:lineRule="exact"/>
        <w:rPr>
          <w:rFonts w:ascii="Times New Roman" w:cs="Times New Roman" w:eastAsia="Times New Roman" w:hAnsi="Times New Roman"/>
          <w:sz w:val="14"/>
          <w:szCs w:val="14"/>
          <w:color w:val="auto"/>
        </w:rPr>
      </w:pPr>
    </w:p>
    <w:p>
      <w:pPr>
        <w:ind w:left="2140" w:right="359" w:hanging="343"/>
        <w:spacing w:after="0" w:line="265"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covering the offering, issuance and sale by us of up to a maximum aggregate offering price of $150,000,000 of registrant’s common stock that may be issued and sold from time to time under a sales agreement (the Sales Agreement), with TD Securities (USA) LLC (TD Cowen).</w:t>
      </w:r>
    </w:p>
    <w:p>
      <w:pPr>
        <w:spacing w:after="0" w:line="136" w:lineRule="exact"/>
        <w:rPr>
          <w:sz w:val="20"/>
          <w:szCs w:val="20"/>
          <w:color w:val="auto"/>
        </w:rPr>
      </w:pPr>
    </w:p>
    <w:p>
      <w:pPr>
        <w:jc w:val="both"/>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will be specified in one or more prospectus supplements to the base prospectus. The prospectus relating to the Sales Agreement immediately follows the base prospectus.</w:t>
      </w:r>
    </w:p>
    <w:p>
      <w:pPr>
        <w:sectPr>
          <w:pgSz w:w="11900" w:h="16838" w:orient="portrait"/>
          <w:cols w:equalWidth="0" w:num="1">
            <w:col w:w="10159"/>
          </w:cols>
          <w:pgMar w:left="300" w:top="38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74295</wp:posOffset>
            </wp:positionV>
            <wp:extent cx="1135380"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538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116840</wp:posOffset>
            </wp:positionV>
            <wp:extent cx="113538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44" w:lineRule="exact"/>
        <w:rPr>
          <w:sz w:val="20"/>
          <w:szCs w:val="20"/>
          <w:color w:val="auto"/>
        </w:rPr>
      </w:pPr>
    </w:p>
    <w:p>
      <w:pPr>
        <w:ind w:left="1380" w:right="359"/>
        <w:spacing w:after="0" w:line="259" w:lineRule="auto"/>
        <w:rPr>
          <w:sz w:val="20"/>
          <w:szCs w:val="20"/>
          <w:color w:val="auto"/>
        </w:rPr>
      </w:pPr>
      <w:r>
        <w:rPr>
          <w:rFonts w:ascii="Times New Roman" w:cs="Times New Roman" w:eastAsia="Times New Roman" w:hAnsi="Times New Roman"/>
          <w:sz w:val="14"/>
          <w:szCs w:val="14"/>
          <w:color w:val="auto"/>
        </w:rPr>
        <w:t>From time to time, we or selling securityholders may offer and sell any combination of shares of our common stock, shares of our preferred stock, debt securities, warrants and units to purchase any of such securities, in one or more offerings at prices and on terms described in this prospectus. We or selling securityholders may also offer securities as may be issuable upon conversion, redemption, repurchase, exchange or exercise of any securities registered hereunder, including any applicable antidilution provisions.</w:t>
      </w:r>
    </w:p>
    <w:p>
      <w:pPr>
        <w:spacing w:after="0" w:line="141" w:lineRule="exact"/>
        <w:rPr>
          <w:sz w:val="20"/>
          <w:szCs w:val="20"/>
          <w:color w:val="auto"/>
        </w:rPr>
      </w:pPr>
    </w:p>
    <w:p>
      <w:pPr>
        <w:ind w:left="1380" w:right="299"/>
        <w:spacing w:after="0" w:line="257"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Each time we offer securities,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accompanied by a prospectus supplement.</w:t>
      </w:r>
    </w:p>
    <w:p>
      <w:pPr>
        <w:spacing w:after="0" w:line="176" w:lineRule="exact"/>
        <w:rPr>
          <w:sz w:val="20"/>
          <w:szCs w:val="20"/>
          <w:color w:val="auto"/>
        </w:rPr>
      </w:pPr>
    </w:p>
    <w:p>
      <w:pPr>
        <w:jc w:val="both"/>
        <w:ind w:left="1380" w:right="299"/>
        <w:spacing w:after="0" w:line="294" w:lineRule="auto"/>
        <w:rPr>
          <w:sz w:val="20"/>
          <w:szCs w:val="20"/>
          <w:color w:val="auto"/>
        </w:rPr>
      </w:pPr>
      <w:r>
        <w:rPr>
          <w:rFonts w:ascii="Times New Roman" w:cs="Times New Roman" w:eastAsia="Times New Roman" w:hAnsi="Times New Roman"/>
          <w:sz w:val="13"/>
          <w:szCs w:val="13"/>
          <w:color w:val="auto"/>
        </w:rPr>
        <w:t>Our common stock is listed on the Nasdaq Global Select Market under the trading symbol “ANNX.” On March 27, 2026, the last reported sale price of our common stock was $5.00 per share. The applicable prospectus supplement will contain information, where applicable, as to other listings, if any, on the Nasdaq Global Select Market or other securities market or other exchange of the securities, if any, covered by the applicable prospectus supplement.</w:t>
      </w:r>
    </w:p>
    <w:p>
      <w:pPr>
        <w:spacing w:after="0" w:line="120" w:lineRule="exact"/>
        <w:rPr>
          <w:sz w:val="20"/>
          <w:szCs w:val="20"/>
          <w:color w:val="auto"/>
        </w:rPr>
      </w:pPr>
    </w:p>
    <w:p>
      <w:pPr>
        <w:ind w:left="1380" w:right="279"/>
        <w:spacing w:after="0" w:line="254" w:lineRule="auto"/>
        <w:rPr>
          <w:sz w:val="20"/>
          <w:szCs w:val="20"/>
          <w:color w:val="auto"/>
        </w:rPr>
      </w:pPr>
      <w:r>
        <w:rPr>
          <w:rFonts w:ascii="Times New Roman" w:cs="Times New Roman" w:eastAsia="Times New Roman" w:hAnsi="Times New Roman"/>
          <w:sz w:val="14"/>
          <w:szCs w:val="14"/>
          <w:color w:val="auto"/>
        </w:rPr>
        <w:t>We or selling securityholders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or the selling securityholders expect to receive from such sale will also be set forth in a prospectus supplement. Unless the applicable prospectus supplement provides otherwise, we will not receive any proceeds from the sale of securities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168275</wp:posOffset>
            </wp:positionV>
            <wp:extent cx="11353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398" w:lineRule="exact"/>
        <w:rPr>
          <w:sz w:val="20"/>
          <w:szCs w:val="20"/>
          <w:color w:val="auto"/>
        </w:rPr>
      </w:pPr>
    </w:p>
    <w:p>
      <w:pPr>
        <w:ind w:left="1380" w:right="359"/>
        <w:spacing w:after="0" w:line="239"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making an investment decision, you should review carefully the risks and uncertainties described under the section 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9 of this prospectus and any similar section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43" w:lineRule="exact"/>
        <w:rPr>
          <w:sz w:val="20"/>
          <w:szCs w:val="20"/>
          <w:color w:val="auto"/>
        </w:rPr>
      </w:pPr>
    </w:p>
    <w:p>
      <w:pPr>
        <w:ind w:left="1380" w:right="699"/>
        <w:spacing w:after="0" w:line="28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154305</wp:posOffset>
            </wp:positionV>
            <wp:extent cx="113538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38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30, 2026.</w:t>
      </w:r>
    </w:p>
    <w:p>
      <w:pPr>
        <w:sectPr>
          <w:pgSz w:w="11900" w:h="16838" w:orient="portrait"/>
          <w:cols w:equalWidth="0" w:num="1">
            <w:col w:w="10159"/>
          </w:cols>
          <w:pgMar w:left="300" w:top="38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6200" w:type="dxa"/>
            <w:vAlign w:val="bottom"/>
            <w:gridSpan w:val="17"/>
          </w:tcPr>
          <w:p>
            <w:pPr>
              <w:spacing w:after="0" w:line="151" w:lineRule="exact"/>
              <w:rPr>
                <w:sz w:val="20"/>
                <w:szCs w:val="20"/>
                <w:color w:val="auto"/>
              </w:rPr>
            </w:pPr>
            <w:r>
              <w:rPr>
                <w:rFonts w:ascii="Times New Roman" w:cs="Times New Roman" w:eastAsia="Times New Roman" w:hAnsi="Times New Roman"/>
                <w:sz w:val="14"/>
                <w:szCs w:val="14"/>
                <w:color w:val="0000EE"/>
              </w:rPr>
              <w:t>ABOUT THIS PROSPECTUS</w:t>
            </w:r>
          </w:p>
        </w:tc>
        <w:tc>
          <w:tcPr>
            <w:tcW w:w="22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1620" w:type="dxa"/>
            <w:vAlign w:val="bottom"/>
            <w:tcBorders>
              <w:top w:val="single" w:sz="8" w:color="0000EE"/>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100" w:type="dxa"/>
            <w:vAlign w:val="bottom"/>
            <w:tcBorders>
              <w:top w:val="single" w:sz="8" w:color="0000EE"/>
            </w:tcBorders>
          </w:tcPr>
          <w:p>
            <w:pPr>
              <w:spacing w:after="0"/>
              <w:rPr>
                <w:sz w:val="12"/>
                <w:szCs w:val="12"/>
                <w:color w:val="auto"/>
              </w:rPr>
            </w:pPr>
          </w:p>
        </w:tc>
        <w:tc>
          <w:tcPr>
            <w:tcW w:w="4480" w:type="dxa"/>
            <w:vAlign w:val="bottom"/>
            <w:gridSpan w:val="9"/>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r>
      <w:tr>
        <w:trPr>
          <w:trHeight w:val="147"/>
        </w:trPr>
        <w:tc>
          <w:tcPr>
            <w:tcW w:w="62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7"/>
        </w:trPr>
        <w:tc>
          <w:tcPr>
            <w:tcW w:w="62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r>
      <w:tr>
        <w:trPr>
          <w:trHeight w:val="147"/>
        </w:trPr>
        <w:tc>
          <w:tcPr>
            <w:tcW w:w="4120" w:type="dxa"/>
            <w:vAlign w:val="bottom"/>
            <w:tcBorders>
              <w:top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2080" w:type="dxa"/>
            <w:vAlign w:val="bottom"/>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7"/>
        </w:trPr>
        <w:tc>
          <w:tcPr>
            <w:tcW w:w="222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3980" w:type="dxa"/>
            <w:vAlign w:val="bottom"/>
            <w:gridSpan w:val="5"/>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r>
      <w:tr>
        <w:trPr>
          <w:trHeight w:val="147"/>
        </w:trPr>
        <w:tc>
          <w:tcPr>
            <w:tcW w:w="23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9"/>
              </w:rPr>
              <w:t>DESCRIPTION OF DEBT SECURITIES</w:t>
            </w:r>
          </w:p>
        </w:tc>
        <w:tc>
          <w:tcPr>
            <w:tcW w:w="3840" w:type="dxa"/>
            <w:vAlign w:val="bottom"/>
            <w:gridSpan w:val="3"/>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147"/>
        </w:trPr>
        <w:tc>
          <w:tcPr>
            <w:tcW w:w="19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4280" w:type="dxa"/>
            <w:vAlign w:val="bottom"/>
            <w:gridSpan w:val="8"/>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147"/>
        </w:trPr>
        <w:tc>
          <w:tcPr>
            <w:tcW w:w="62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UNITS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7"/>
        </w:trPr>
        <w:tc>
          <w:tcPr>
            <w:tcW w:w="62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LEGAL OWNERSHIP OF SECURITIES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7"/>
        </w:trPr>
        <w:tc>
          <w:tcPr>
            <w:tcW w:w="1940" w:type="dxa"/>
            <w:vAlign w:val="bottom"/>
            <w:tcBorders>
              <w:top w:val="single" w:sz="8" w:color="0000EE"/>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8"/>
              </w:rPr>
              <w:t>SELLING SECURITYHOLDERS</w:t>
            </w:r>
          </w:p>
        </w:tc>
        <w:tc>
          <w:tcPr>
            <w:tcW w:w="400" w:type="dxa"/>
            <w:vAlign w:val="bottom"/>
            <w:tcBorders>
              <w:top w:val="single" w:sz="8" w:color="0000EE"/>
            </w:tcBorders>
            <w:gridSpan w:val="3"/>
          </w:tcPr>
          <w:p>
            <w:pPr>
              <w:spacing w:after="0"/>
              <w:rPr>
                <w:sz w:val="12"/>
                <w:szCs w:val="12"/>
                <w:color w:val="auto"/>
              </w:rPr>
            </w:pPr>
          </w:p>
        </w:tc>
        <w:tc>
          <w:tcPr>
            <w:tcW w:w="3860" w:type="dxa"/>
            <w:vAlign w:val="bottom"/>
            <w:gridSpan w:val="4"/>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r>
      <w:tr>
        <w:trPr>
          <w:trHeight w:val="147"/>
        </w:trPr>
        <w:tc>
          <w:tcPr>
            <w:tcW w:w="62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w:t>
            </w:r>
          </w:p>
        </w:tc>
      </w:tr>
      <w:tr>
        <w:trPr>
          <w:trHeight w:val="147"/>
        </w:trPr>
        <w:tc>
          <w:tcPr>
            <w:tcW w:w="158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4620" w:type="dxa"/>
            <w:vAlign w:val="bottom"/>
            <w:gridSpan w:val="11"/>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080" w:type="dxa"/>
            <w:vAlign w:val="bottom"/>
            <w:gridSpan w:val="14"/>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r>
      <w:tr>
        <w:trPr>
          <w:trHeight w:val="147"/>
        </w:trPr>
        <w:tc>
          <w:tcPr>
            <w:tcW w:w="296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3240" w:type="dxa"/>
            <w:vAlign w:val="bottom"/>
            <w:gridSpan w:val="2"/>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r>
      <w:tr>
        <w:trPr>
          <w:trHeight w:val="147"/>
        </w:trPr>
        <w:tc>
          <w:tcPr>
            <w:tcW w:w="62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S-3 that we have filed with the Securities and Exchange Commission (the “SEC”) as a “well-known seasoned issuer” as defined in Rule 405 under the Securities Act of 1933, as amended (the “Securities Act”), using a “shelf” registration process. Under this shelf registration statement, we or the selling securityholders may, from time to time, offer and sell, either individually or in combination, in one or more offerings, any combination of the securities described in this prospectus. No limit exists on the aggregate number or amount of securities we or the selling securityholders may sell pursuant to the registration statement of which this prospectus is a part.</w:t>
      </w:r>
    </w:p>
    <w:p>
      <w:pPr>
        <w:spacing w:after="0" w:line="142" w:lineRule="exact"/>
        <w:rPr>
          <w:sz w:val="20"/>
          <w:szCs w:val="20"/>
          <w:color w:val="auto"/>
        </w:rPr>
      </w:pPr>
    </w:p>
    <w:p>
      <w:pPr>
        <w:ind w:left="1380" w:right="279" w:firstLine="341"/>
        <w:spacing w:after="0" w:line="276"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the securities we or the selling securityholders may offer. Each time we or the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may authorize for use in connection with a specific offering, together with the documents incorporated by reference into this prospectus as described under the sections titled “Where You Can Find More Information” and “Incorporation of Certain Information by Reference,” before investing in any of the securities being offered.</w:t>
      </w:r>
    </w:p>
    <w:p>
      <w:pPr>
        <w:spacing w:after="0" w:line="1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76" w:lineRule="exact"/>
        <w:rPr>
          <w:sz w:val="20"/>
          <w:szCs w:val="20"/>
          <w:color w:val="auto"/>
        </w:rPr>
      </w:pPr>
    </w:p>
    <w:p>
      <w:pPr>
        <w:ind w:left="1380" w:right="279" w:firstLine="341"/>
        <w:spacing w:after="0" w:line="251"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other person to provide you with any information other than that contained or incorporated by reference in this prospectus, any related prospectus supplement and any related free writing prospectus that we may authorize to be provided to you. We take no responsibility for, and can provide no assurance as to the reliability of, any other information that others may give you.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contained in this prospectus, any related prospectus supplement and in any free writing prospectus that we may authorize for use in connection with a specific offering and the documents incorporated by reference into this prospectus is accurate only as of the date of those respective documents, regardless of the time of delivery of the respective document or of any sale of securities covered by this prospectus. Our business, financial condition, results of operations and prospects may have changed since those dates. You should not assume that the information contained in or incorporated by reference in this prospectus, in any related prospectus supplement or in any free writing prospectus that we may authorize for use in connection with a specific offering, is accurate as of any date other than the respective dates thereof. You should read this prospectus, any related prospectus supplement, any free writing prospectus that we may authorize for use in connection with this offering and the documents incorporated by reference into this prospectus as described under the sections titled “Where You Can Find More Information” and “Incorporation by Reference” in their entirety before making an investment decision.</w:t>
      </w:r>
    </w:p>
    <w:p>
      <w:pPr>
        <w:spacing w:after="0" w:line="15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We are offering to sell, and seeking offers to buy, our securities only in jurisdictions where offers and sales are permitted. The distribution of this prospectus, any related prospectus supplement and any free writing prospectus we may authorize and the offering of our securities in certain jurisdictions may be restricted by law. Persons outside the United States who come into possession of this prospectus, any related prospectus supplement and any free writing prospectus we may authorize must inform themselves about, and observe any restrictions relating to, the offering of our securities and the distribution of this prospectus, any related prospectus supplement and any free writing prospectus we may authorize outside the United States. This prospectus, any</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spacing w:after="0" w:line="252" w:lineRule="auto"/>
        <w:rPr>
          <w:sz w:val="20"/>
          <w:szCs w:val="20"/>
          <w:color w:val="auto"/>
        </w:rPr>
      </w:pPr>
      <w:r>
        <w:rPr>
          <w:rFonts w:ascii="Times New Roman" w:cs="Times New Roman" w:eastAsia="Times New Roman" w:hAnsi="Times New Roman"/>
          <w:sz w:val="14"/>
          <w:szCs w:val="14"/>
          <w:color w:val="auto"/>
        </w:rPr>
        <w:t>related prospectus supplement and any free writing prospectus we may authorize does not constitute, and may not be used in connection with, an offer to sell, or a solicitation of an offer to buy, any securities offered by this prospectus, any related prospectus supplement and any free writing prospectus we may authorize by any person in any jurisdiction in which it is unlawful for such person to make such an offer or solicitation. 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50"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sections titled “Where You Can Find More Information” and “Incorporation by Reference.”</w:t>
      </w:r>
    </w:p>
    <w:p>
      <w:pPr>
        <w:spacing w:after="0" w:line="142" w:lineRule="exact"/>
        <w:rPr>
          <w:sz w:val="20"/>
          <w:szCs w:val="20"/>
          <w:color w:val="auto"/>
        </w:rPr>
      </w:pPr>
    </w:p>
    <w:p>
      <w:pPr>
        <w:ind w:left="1380" w:right="419" w:firstLine="341"/>
        <w:spacing w:after="0" w:line="280" w:lineRule="auto"/>
        <w:rPr>
          <w:sz w:val="20"/>
          <w:szCs w:val="20"/>
          <w:color w:val="auto"/>
        </w:rPr>
      </w:pPr>
      <w:r>
        <w:rPr>
          <w:rFonts w:ascii="Times New Roman" w:cs="Times New Roman" w:eastAsia="Times New Roman" w:hAnsi="Times New Roman"/>
          <w:sz w:val="14"/>
          <w:szCs w:val="14"/>
          <w:color w:val="auto"/>
        </w:rPr>
        <w:t>When we refer to “Annexon,” “we,” “our,” “us” and the “Company” in this prospectus, we mean Annexon, Inc. and its consolidated subsidiary, unless otherwise specified. When we refer to “you,” we mean the potential holders of the applicable series of securities.</w:t>
      </w:r>
    </w:p>
    <w:p>
      <w:pPr>
        <w:spacing w:after="0" w:line="126" w:lineRule="exact"/>
        <w:rPr>
          <w:sz w:val="20"/>
          <w:szCs w:val="20"/>
          <w:color w:val="auto"/>
        </w:rPr>
      </w:pPr>
    </w:p>
    <w:p>
      <w:pPr>
        <w:ind w:left="1380" w:right="459" w:firstLine="341"/>
        <w:spacing w:after="0" w:line="236" w:lineRule="auto"/>
        <w:rPr>
          <w:sz w:val="20"/>
          <w:szCs w:val="20"/>
          <w:color w:val="auto"/>
        </w:rPr>
      </w:pPr>
      <w:r>
        <w:rPr>
          <w:rFonts w:ascii="Times New Roman" w:cs="Times New Roman" w:eastAsia="Times New Roman" w:hAnsi="Times New Roman"/>
          <w:sz w:val="14"/>
          <w:szCs w:val="14"/>
          <w:color w:val="auto"/>
        </w:rPr>
        <w:t xml:space="preserve">“Annexon”, “Annexon Biosciences”, the Annexon logo and other trade names, trademarks or service marks of Annexon are the property of Annexon, Inc. This prospectus also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 Solely for convenience, the trade names and trademarks may be referred to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their rights thereto.</w:t>
      </w:r>
    </w:p>
    <w:p>
      <w:pPr>
        <w:spacing w:after="0" w:line="1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699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3535" cy="4699635"/>
                    </a:xfrm>
                    <a:prstGeom prst="rect">
                      <a:avLst/>
                    </a:prstGeom>
                    <a:noFill/>
                  </pic:spPr>
                </pic:pic>
              </a:graphicData>
            </a:graphic>
          </wp:anchor>
        </w:drawing>
      </w: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4" w:lineRule="exact"/>
        <w:rPr>
          <w:sz w:val="20"/>
          <w:szCs w:val="20"/>
          <w:color w:val="auto"/>
        </w:rPr>
      </w:pPr>
    </w:p>
    <w:p>
      <w:pPr>
        <w:ind w:left="1520" w:right="519" w:firstLine="330"/>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 titled “Risk Factors” contained in the applicable prospectus supplement and any related free writing prospectus, and under similar headings in the other documents that are incorporated by reference into this prospectus and the applicable prospectus supplement. You should also carefully read the information incorporated by reference into this prospectus, including our financial statements, and the exhibits to the registration statement of which this prospectus is a part.</w:t>
      </w:r>
    </w:p>
    <w:p>
      <w:pPr>
        <w:spacing w:after="0" w:line="225" w:lineRule="exact"/>
        <w:rPr>
          <w:sz w:val="20"/>
          <w:szCs w:val="20"/>
          <w:color w:val="auto"/>
        </w:rPr>
      </w:pPr>
    </w:p>
    <w:p>
      <w:pPr>
        <w:jc w:val="both"/>
        <w:ind w:left="1520" w:right="759" w:firstLine="330"/>
        <w:spacing w:after="0" w:line="266" w:lineRule="auto"/>
        <w:rPr>
          <w:sz w:val="20"/>
          <w:szCs w:val="20"/>
          <w:color w:val="auto"/>
        </w:rPr>
      </w:pPr>
      <w:r>
        <w:rPr>
          <w:rFonts w:ascii="Times New Roman" w:cs="Times New Roman" w:eastAsia="Times New Roman" w:hAnsi="Times New Roman"/>
          <w:sz w:val="14"/>
          <w:szCs w:val="14"/>
          <w:i w:val="1"/>
          <w:iCs w:val="1"/>
          <w:color w:val="auto"/>
        </w:rPr>
        <w:t>Except as otherwise indicated herein or as the context otherwise requires, references in this prospectus to “Annexon,” “the Company,” “we,” “us,” “our” and similar references refer to Annexon, Inc., a corporation under the laws of the State of Delaware and its consolidated subsidiaries, if any, unless otherwise specified.</w:t>
      </w:r>
    </w:p>
    <w:p>
      <w:pPr>
        <w:spacing w:after="0" w:line="1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76" w:lineRule="exact"/>
        <w:rPr>
          <w:sz w:val="20"/>
          <w:szCs w:val="20"/>
          <w:color w:val="auto"/>
        </w:rPr>
      </w:pPr>
    </w:p>
    <w:p>
      <w:pPr>
        <w:ind w:left="1520" w:right="459" w:firstLine="330"/>
        <w:spacing w:after="0" w:line="257" w:lineRule="auto"/>
        <w:rPr>
          <w:sz w:val="20"/>
          <w:szCs w:val="20"/>
          <w:color w:val="auto"/>
        </w:rPr>
      </w:pPr>
      <w:r>
        <w:rPr>
          <w:rFonts w:ascii="Times New Roman" w:cs="Times New Roman" w:eastAsia="Times New Roman" w:hAnsi="Times New Roman"/>
          <w:sz w:val="14"/>
          <w:szCs w:val="14"/>
          <w:color w:val="auto"/>
        </w:rPr>
        <w:t>We are a biopharmaceutical company advancing the next generation platform of targeted immunotherapies aimed at complement-mediated neuroinflammatory diseases that impact nearly 10 million people worldwide. The classical complement pathway is a core component to the body’s immune system that activates a powerful inflammatory cascade. We believe that by stopping the classical complement pathway at its start by targeting C1q, the initiating molecule of the classical complement pathway, our approach may have the potential to provide more complete protection against complement-mediated disorders of the body, brain and eye.</w:t>
      </w:r>
    </w:p>
    <w:p>
      <w:pPr>
        <w:spacing w:after="0" w:line="142" w:lineRule="exact"/>
        <w:rPr>
          <w:sz w:val="20"/>
          <w:szCs w:val="20"/>
          <w:color w:val="auto"/>
        </w:rPr>
      </w:pPr>
    </w:p>
    <w:p>
      <w:pPr>
        <w:ind w:left="1520" w:right="399" w:firstLine="330"/>
        <w:spacing w:after="0" w:line="254" w:lineRule="auto"/>
        <w:rPr>
          <w:sz w:val="20"/>
          <w:szCs w:val="20"/>
          <w:color w:val="auto"/>
        </w:rPr>
      </w:pPr>
      <w:r>
        <w:rPr>
          <w:rFonts w:ascii="Times New Roman" w:cs="Times New Roman" w:eastAsia="Times New Roman" w:hAnsi="Times New Roman"/>
          <w:sz w:val="14"/>
          <w:szCs w:val="14"/>
          <w:color w:val="auto"/>
        </w:rPr>
        <w:t>Using our proprietary platform, we are identifying and characterizing the role of the classical complement pathway in three therapeutic areas —autoimmune, neurodegeneration and ophthalmology. In so doing, we are advancing a pipeline of product candidates designed to block the early classical cascade and all downstream pathway components and their tissue-damaging functions. Our goal is to suppress excessive or aberrant classical complement activity that contributes to chronic inflammation and tissue damage to slow or even halt disease progression, while preserving the beneficial immune functions of the lectin and alternative complement pathways involved in the clearance of pathogens and damaged cells. Building on more than a decade of expertise stopping acute and chronic neuroinflammation at its source, we have demonstrated robust target engagement in the body, brain and eye, and clinical proof of concept in multiple diseases.</w:t>
      </w:r>
    </w:p>
    <w:p>
      <w:pPr>
        <w:spacing w:after="0" w:line="146" w:lineRule="exact"/>
        <w:rPr>
          <w:sz w:val="20"/>
          <w:szCs w:val="20"/>
          <w:color w:val="auto"/>
        </w:rPr>
      </w:pPr>
    </w:p>
    <w:p>
      <w:pPr>
        <w:jc w:val="both"/>
        <w:ind w:left="1520" w:right="419" w:firstLine="330"/>
        <w:spacing w:after="0" w:line="265" w:lineRule="auto"/>
        <w:rPr>
          <w:sz w:val="20"/>
          <w:szCs w:val="20"/>
          <w:color w:val="auto"/>
        </w:rPr>
      </w:pPr>
      <w:r>
        <w:rPr>
          <w:rFonts w:ascii="Times New Roman" w:cs="Times New Roman" w:eastAsia="Times New Roman" w:hAnsi="Times New Roman"/>
          <w:sz w:val="14"/>
          <w:szCs w:val="14"/>
          <w:color w:val="auto"/>
        </w:rPr>
        <w:t>Our strategic priorities include advancing two late-stage registrational programs: tanruprubart, toward our first potential approval in Guillain-Barré Syndrome, or GBS, and vonaprument, toward pivotal data in geographic atrophy, or GA, as well as developing ANX1502, a novel oral small molecule for autoimmune conditions.</w:t>
      </w:r>
    </w:p>
    <w:p>
      <w:pPr>
        <w:spacing w:after="0" w:line="136" w:lineRule="exact"/>
        <w:rPr>
          <w:sz w:val="20"/>
          <w:szCs w:val="20"/>
          <w:color w:val="auto"/>
        </w:rPr>
      </w:pPr>
    </w:p>
    <w:p>
      <w:pPr>
        <w:ind w:left="1520" w:right="559" w:firstLine="330"/>
        <w:spacing w:after="0" w:line="253" w:lineRule="auto"/>
        <w:rPr>
          <w:sz w:val="20"/>
          <w:szCs w:val="20"/>
          <w:color w:val="auto"/>
        </w:rPr>
      </w:pPr>
      <w:r>
        <w:rPr>
          <w:rFonts w:ascii="Times New Roman" w:cs="Times New Roman" w:eastAsia="Times New Roman" w:hAnsi="Times New Roman"/>
          <w:sz w:val="14"/>
          <w:szCs w:val="14"/>
          <w:color w:val="auto"/>
        </w:rPr>
        <w:t>Tanruprubart is an investigational targeted immunotherapy delivered in a single infusion to rapidly halt aggressive neuroinflammation and damage in GBS, an acute, rare, neuromuscular emergency that annually affects ~150,000 people worldwide. There are currently no therapies approved by the FDA for GBS and no substantial evidence of effectiveness from the current standard of care. In the placebo-controlled Phase 3 trial, approximately 90% of GBS patients treated with tanruprubart improved by week 1 and more than twice as many treated patients achieved a normal state of health at week 26. Tanruprubart has consistently demonstrated rapid and sustained functional improvements across a comprehensive data package that includes successful placebo-controlled proof-of-concept, or POC, and Phase 3 data, Real-World Evidence, or RWE, indirect comparison data of tanruprubart’s treatment effect versus current standard of care, and drug-drug interaction safety data with tanruprubart with current standard of care. Completed placebo-controlled studies were conducted in Southeast</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646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23535" cy="4646295"/>
                    </a:xfrm>
                    <a:prstGeom prst="rect">
                      <a:avLst/>
                    </a:prstGeom>
                    <a:noFill/>
                  </pic:spPr>
                </pic:pic>
              </a:graphicData>
            </a:graphic>
          </wp:anchor>
        </w:drawing>
      </w:r>
    </w:p>
    <w:p>
      <w:pPr>
        <w:spacing w:after="0" w:line="365" w:lineRule="exact"/>
        <w:rPr>
          <w:sz w:val="20"/>
          <w:szCs w:val="20"/>
          <w:color w:val="auto"/>
        </w:rPr>
      </w:pPr>
    </w:p>
    <w:p>
      <w:pPr>
        <w:ind w:left="1520" w:right="459"/>
        <w:spacing w:after="0" w:line="265" w:lineRule="auto"/>
        <w:rPr>
          <w:sz w:val="20"/>
          <w:szCs w:val="20"/>
          <w:color w:val="auto"/>
        </w:rPr>
      </w:pPr>
      <w:r>
        <w:rPr>
          <w:rFonts w:ascii="Times New Roman" w:cs="Times New Roman" w:eastAsia="Times New Roman" w:hAnsi="Times New Roman"/>
          <w:sz w:val="14"/>
          <w:szCs w:val="14"/>
          <w:color w:val="auto"/>
        </w:rPr>
        <w:t>Asia given GBS’ sudden and debilitating disease course and lack of approved comparator in the U.S. The open-label FORWARD study in the U.S. and Europe is ongoing and designed to support a broad intended label for the treatment of GBS and further expand the use of tanruprubart across geographies.</w:t>
      </w:r>
    </w:p>
    <w:p>
      <w:pPr>
        <w:spacing w:after="0" w:line="136" w:lineRule="exact"/>
        <w:rPr>
          <w:sz w:val="20"/>
          <w:szCs w:val="20"/>
          <w:color w:val="auto"/>
        </w:rPr>
      </w:pPr>
    </w:p>
    <w:p>
      <w:pPr>
        <w:ind w:left="1520" w:right="399" w:firstLine="330"/>
        <w:spacing w:after="0" w:line="253" w:lineRule="auto"/>
        <w:rPr>
          <w:sz w:val="20"/>
          <w:szCs w:val="20"/>
          <w:color w:val="auto"/>
        </w:rPr>
      </w:pPr>
      <w:r>
        <w:rPr>
          <w:rFonts w:ascii="Times New Roman" w:cs="Times New Roman" w:eastAsia="Times New Roman" w:hAnsi="Times New Roman"/>
          <w:sz w:val="14"/>
          <w:szCs w:val="14"/>
          <w:color w:val="auto"/>
        </w:rPr>
        <w:t>We filed the Marketing Authorization Application, or MAA, with the European Medicines Agency, or EMA, for tanruprubart for the treatment of GBS in January 2026, and we continue to engage with EU regulators through the MAA review process. Tanruprubart has been granted orphan designation from the EMA. Tanruprubart has also been granted Fast Track and orphan drug designation for the treatment of GBS from the FDA. The currently ongoing open-label U.S./EU FORWARD study is designed to broaden Western experience with tanruprubart, and we anticipate initial pharmacokinetics, or PK, pharmacodynamics, or PD, biomarker and functional data in 2026 to supplement our comprehensive data package for tanruprubart in GBS. Following such data, we plan to engage with the FDA with the goal of reaching alignment on our current and supplemental data package and information supporting the generalizability of tanruprubart in Western patients for submission of a biologics license application, or BLA, in 2026.</w:t>
      </w:r>
    </w:p>
    <w:p>
      <w:pPr>
        <w:spacing w:after="0" w:line="148" w:lineRule="exact"/>
        <w:rPr>
          <w:sz w:val="20"/>
          <w:szCs w:val="20"/>
          <w:color w:val="auto"/>
        </w:rPr>
      </w:pPr>
    </w:p>
    <w:p>
      <w:pPr>
        <w:ind w:left="1520" w:right="419" w:firstLine="330"/>
        <w:spacing w:after="0" w:line="255" w:lineRule="auto"/>
        <w:rPr>
          <w:sz w:val="20"/>
          <w:szCs w:val="20"/>
          <w:color w:val="auto"/>
        </w:rPr>
      </w:pPr>
      <w:r>
        <w:rPr>
          <w:rFonts w:ascii="Times New Roman" w:cs="Times New Roman" w:eastAsia="Times New Roman" w:hAnsi="Times New Roman"/>
          <w:sz w:val="14"/>
          <w:szCs w:val="14"/>
          <w:color w:val="auto"/>
        </w:rPr>
        <w:t>Vonaprument is an investigational neuroprotective inhibitor of C1q and the classical complement cascade delivered intravitreally for dry AMD with GA, a leading cause of blindness affecting more than eight million people worldwide. There are no approved therapies for GA targeting the preservation of vision. Vonaprument is the only investigational therapy in GA to show significant vision preservation on assessments of best corrected visual acuity, or BCVA, and low luminance visual acuity, or LLVA, demonstrating significant protection from vision loss in both normal and low light conditions, as well as significant preservation of central retinal photoreceptors necessary for visual acuity. In the Phase 2 ARCHER trial, vonaprument also reduced risk of 15-letter vision loss by more than 70%.</w:t>
      </w:r>
    </w:p>
    <w:p>
      <w:pPr>
        <w:spacing w:after="0" w:line="145" w:lineRule="exact"/>
        <w:rPr>
          <w:sz w:val="20"/>
          <w:szCs w:val="20"/>
          <w:color w:val="auto"/>
        </w:rPr>
      </w:pPr>
    </w:p>
    <w:p>
      <w:pPr>
        <w:ind w:left="1520" w:right="459" w:firstLine="330"/>
        <w:spacing w:after="0" w:line="259" w:lineRule="auto"/>
        <w:rPr>
          <w:sz w:val="20"/>
          <w:szCs w:val="20"/>
          <w:color w:val="auto"/>
        </w:rPr>
      </w:pPr>
      <w:r>
        <w:rPr>
          <w:rFonts w:ascii="Times New Roman" w:cs="Times New Roman" w:eastAsia="Times New Roman" w:hAnsi="Times New Roman"/>
          <w:sz w:val="14"/>
          <w:szCs w:val="14"/>
          <w:color w:val="auto"/>
        </w:rPr>
        <w:t>In July 2025, we completed enrollment of 659 patients in ARCHER II, a global, sham-controlled, double-masked Phase 3 trial for patients with GA. The primary endpoint of ARCHER II is the gold standard for visual acuity, measuring proportion of patients with confirmed BCVA ≥15-letter loss at any two consecutive visits through month 15. A secondary endpoint is ellipsoid zone, or EZ, loss, which is a key anatomic measure of photoreceptor health and function. We plan to report topline data in the fourth quarter of 2026.</w:t>
      </w:r>
    </w:p>
    <w:p>
      <w:pPr>
        <w:spacing w:after="0" w:line="141" w:lineRule="exact"/>
        <w:rPr>
          <w:sz w:val="20"/>
          <w:szCs w:val="20"/>
          <w:color w:val="auto"/>
        </w:rPr>
      </w:pPr>
    </w:p>
    <w:p>
      <w:pPr>
        <w:ind w:left="1520" w:right="459" w:firstLine="330"/>
        <w:spacing w:after="0" w:line="253" w:lineRule="auto"/>
        <w:rPr>
          <w:sz w:val="20"/>
          <w:szCs w:val="20"/>
          <w:color w:val="auto"/>
        </w:rPr>
      </w:pPr>
      <w:r>
        <w:rPr>
          <w:rFonts w:ascii="Times New Roman" w:cs="Times New Roman" w:eastAsia="Times New Roman" w:hAnsi="Times New Roman"/>
          <w:sz w:val="14"/>
          <w:szCs w:val="14"/>
          <w:color w:val="auto"/>
        </w:rPr>
        <w:t>We have established a global registration path with the FDA and EMA, which supports the potential of vonaprument to be the first treatment approved in both Europe and the U.S. for the protection of vision in patients with GA. The single-study program will be analyzed as two sub-studies in the U.S. in accordance with the FDA’s two-trial recommendation. Vonaprument is the first and only therapeutic candidate for the treatment of GA to receive Priority Medicine, or PRIME, designation by the EMA, which provides early and proactive support to developers of promising medicines that may offer a major therapeutic advantage over existing treatments or benefit to patients without treatment options. Vonaprument was also selected by the EMA for the Product Development Coordinator Pilot launched in July 2025 to help PRIME designation holders efficiently navigate regulatory interactions including expedited scientific advice, MAA submission readiness activities, and ad-hoc queries throughout the development program.</w:t>
      </w:r>
    </w:p>
    <w:p>
      <w:pPr>
        <w:spacing w:after="0" w:line="148" w:lineRule="exact"/>
        <w:rPr>
          <w:sz w:val="20"/>
          <w:szCs w:val="20"/>
          <w:color w:val="auto"/>
        </w:rPr>
      </w:pPr>
    </w:p>
    <w:p>
      <w:pPr>
        <w:ind w:left="1520" w:right="399" w:firstLine="330"/>
        <w:spacing w:after="0" w:line="253" w:lineRule="auto"/>
        <w:rPr>
          <w:sz w:val="20"/>
          <w:szCs w:val="20"/>
          <w:color w:val="auto"/>
        </w:rPr>
      </w:pPr>
      <w:r>
        <w:rPr>
          <w:rFonts w:ascii="Times New Roman" w:cs="Times New Roman" w:eastAsia="Times New Roman" w:hAnsi="Times New Roman"/>
          <w:sz w:val="14"/>
          <w:szCs w:val="14"/>
          <w:color w:val="auto"/>
        </w:rPr>
        <w:t>ANX1502 is a novel oral small molecule inhibiting the activated form of C1s, an enzyme carried by C1q to initiate the classical cascade, which we believe is first-in-kind and has the potential to offer the advantages of selective upstream classical complement inhibition with the convenience and flexibility of oral administration. In a Phase 1 single-ascending dose, or SAD, and multiple-ascending dose, or MAD, clinical trial in healthy volunteers designed to evaluate the safety, tolerability, PK and PD, ANX1502 was generally well tolerated across cohorts with no serious adverse events, achieved target levels of active drug and showed supportive impact on a PD biomarker of complement activity. We are evaluating an enteric-coated tablet formulation of ANX1502 in an ongoing POC study in patients with cold agglutinin disease, or CAD. We have observed drug levels at and exceeding the pre-defined target in fasted CAD patients. Dosing is ongoing to enhance our understanding of ANX1502’s profile and we plan to provide an update upon study completion in 2026.</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759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23535" cy="4759325"/>
                    </a:xfrm>
                    <a:prstGeom prst="rect">
                      <a:avLst/>
                    </a:prstGeom>
                    <a:noFill/>
                  </pic:spPr>
                </pic:pic>
              </a:graphicData>
            </a:graphic>
          </wp:anchor>
        </w:drawing>
      </w:r>
    </w:p>
    <w:p>
      <w:pPr>
        <w:spacing w:after="0" w:line="3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6" w:lineRule="exact"/>
        <w:rPr>
          <w:sz w:val="20"/>
          <w:szCs w:val="20"/>
          <w:color w:val="auto"/>
        </w:rPr>
      </w:pPr>
    </w:p>
    <w:p>
      <w:pPr>
        <w:ind w:left="1520" w:right="479" w:firstLine="330"/>
        <w:spacing w:after="0" w:line="25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March 3, 2011. Our principal executive offices are located at 1400 Sierra Point Parkway, Bldg C, Suite 200, Brisbane, California 94005, and our telephone number is (650) 822-5500. Our corporate website address is www.annexonbio.com.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6" w:lineRule="exact"/>
        <w:rPr>
          <w:sz w:val="20"/>
          <w:szCs w:val="20"/>
          <w:color w:val="auto"/>
        </w:rPr>
      </w:pPr>
    </w:p>
    <w:p>
      <w:pPr>
        <w:ind w:left="1520" w:right="399" w:firstLine="330"/>
        <w:spacing w:after="0" w:line="254"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(“Exchange Act”), which allows us to take advantage of many of the exemptions available to “emerging growth companies” as defined in the Jumpstart Our Business Startups Act of 2012,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176" w:lineRule="exact"/>
        <w:rPr>
          <w:sz w:val="20"/>
          <w:szCs w:val="20"/>
          <w:color w:val="auto"/>
        </w:rPr>
      </w:pPr>
    </w:p>
    <w:p>
      <w:pPr>
        <w:ind w:left="1520" w:right="459" w:firstLine="330"/>
        <w:spacing w:after="0" w:line="276" w:lineRule="auto"/>
        <w:rPr>
          <w:sz w:val="20"/>
          <w:szCs w:val="20"/>
          <w:color w:val="auto"/>
        </w:rPr>
      </w:pPr>
      <w:r>
        <w:rPr>
          <w:rFonts w:ascii="Times New Roman" w:cs="Times New Roman" w:eastAsia="Times New Roman" w:hAnsi="Times New Roman"/>
          <w:sz w:val="13"/>
          <w:szCs w:val="13"/>
          <w:color w:val="auto"/>
        </w:rPr>
        <w:t>We or selling securityholders may offer shares of our common stock and preferred stock, debt securities, warrants to purchase any of such securities, either individually or as units in combination, from time to time in one or more offerings under this prospectus, together with any applicable prospectus supplement and any related free writing prospectus, at prices and on terms to be determined by market conditions at the time of any offering. We or selling securityholders may also offer common stock, preferred stock and/or debt securities upon the exercise of warrants. There is no limit on the aggregate number or amount of securities we or selling securityholders may sell pursuant to the registration statement of which this prospectus is a part.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57" w:lineRule="exact"/>
        <w:rPr>
          <w:sz w:val="20"/>
          <w:szCs w:val="20"/>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if applicable;</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if any;</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exercise, exchange or sinking fund terms, if any;</w:t>
      </w:r>
    </w:p>
    <w:p>
      <w:pPr>
        <w:spacing w:after="0" w:line="100" w:lineRule="exact"/>
        <w:rPr>
          <w:rFonts w:ascii="Times New Roman" w:cs="Times New Roman" w:eastAsia="Times New Roman" w:hAnsi="Times New Roman"/>
          <w:sz w:val="14"/>
          <w:szCs w:val="14"/>
          <w:color w:val="auto"/>
        </w:rPr>
      </w:pPr>
    </w:p>
    <w:p>
      <w:pPr>
        <w:ind w:left="2240" w:right="659" w:hanging="313"/>
        <w:spacing w:after="0" w:line="280" w:lineRule="auto"/>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53"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if applicable;</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839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23535" cy="4839335"/>
                    </a:xfrm>
                    <a:prstGeom prst="rect">
                      <a:avLst/>
                    </a:prstGeom>
                    <a:noFill/>
                  </pic:spPr>
                </pic:pic>
              </a:graphicData>
            </a:graphic>
          </wp:anchor>
        </w:drawing>
      </w:r>
    </w:p>
    <w:p>
      <w:pPr>
        <w:spacing w:after="0" w:line="365" w:lineRule="exact"/>
        <w:rPr>
          <w:sz w:val="20"/>
          <w:szCs w:val="20"/>
          <w:color w:val="auto"/>
        </w:rPr>
      </w:pPr>
    </w:p>
    <w:p>
      <w:pPr>
        <w:ind w:left="2240" w:hanging="313"/>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or special U.S. federal income tax considerations.</w:t>
      </w:r>
    </w:p>
    <w:p>
      <w:pPr>
        <w:spacing w:after="0" w:line="174" w:lineRule="exact"/>
        <w:rPr>
          <w:sz w:val="20"/>
          <w:szCs w:val="20"/>
          <w:color w:val="auto"/>
        </w:rPr>
      </w:pPr>
    </w:p>
    <w:p>
      <w:pPr>
        <w:ind w:left="1520" w:right="679" w:firstLine="330"/>
        <w:spacing w:after="0" w:line="259" w:lineRule="auto"/>
        <w:rPr>
          <w:sz w:val="20"/>
          <w:szCs w:val="20"/>
          <w:color w:val="auto"/>
        </w:rPr>
      </w:pPr>
      <w:r>
        <w:rPr>
          <w:rFonts w:ascii="Times New Roman" w:cs="Times New Roman" w:eastAsia="Times New Roman" w:hAnsi="Times New Roman"/>
          <w:sz w:val="14"/>
          <w:szCs w:val="14"/>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39" w:lineRule="exact"/>
        <w:rPr>
          <w:sz w:val="20"/>
          <w:szCs w:val="20"/>
          <w:color w:val="auto"/>
        </w:rPr>
      </w:pPr>
    </w:p>
    <w:p>
      <w:pPr>
        <w:ind w:left="1520" w:right="519" w:firstLine="330"/>
        <w:spacing w:after="0" w:line="283"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24" w:lineRule="exact"/>
        <w:rPr>
          <w:sz w:val="20"/>
          <w:szCs w:val="20"/>
          <w:color w:val="auto"/>
        </w:rPr>
      </w:pPr>
    </w:p>
    <w:p>
      <w:pPr>
        <w:ind w:left="1520" w:right="519" w:firstLine="330"/>
        <w:spacing w:after="0" w:line="265" w:lineRule="auto"/>
        <w:rPr>
          <w:sz w:val="20"/>
          <w:szCs w:val="20"/>
          <w:color w:val="auto"/>
        </w:rPr>
      </w:pPr>
      <w:r>
        <w:rPr>
          <w:rFonts w:ascii="Times New Roman" w:cs="Times New Roman" w:eastAsia="Times New Roman" w:hAnsi="Times New Roman"/>
          <w:sz w:val="14"/>
          <w:szCs w:val="14"/>
          <w:color w:val="auto"/>
        </w:rPr>
        <w:t>We or selling securityholders may sell the securities directly to investors or to or through agents, underwriters or dealers. We and our agents or underwriters reserve the right to accept or reject all or part of any proposed purchase of securities. If we or selling securityholders do offer securities to or through agents or underwriters, we will include in the applicable prospectus supplement:</w:t>
      </w:r>
    </w:p>
    <w:p>
      <w:pPr>
        <w:spacing w:after="0" w:line="63" w:lineRule="exact"/>
        <w:rPr>
          <w:sz w:val="20"/>
          <w:szCs w:val="20"/>
          <w:color w:val="auto"/>
        </w:rPr>
      </w:pPr>
    </w:p>
    <w:p>
      <w:pPr>
        <w:ind w:left="2240" w:hanging="313"/>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net proceeds to us.</w:t>
      </w:r>
    </w:p>
    <w:p>
      <w:pPr>
        <w:spacing w:after="0" w:line="172" w:lineRule="exact"/>
        <w:rPr>
          <w:sz w:val="20"/>
          <w:szCs w:val="20"/>
          <w:color w:val="auto"/>
        </w:rPr>
      </w:pPr>
    </w:p>
    <w:p>
      <w:pPr>
        <w:ind w:left="1520" w:right="419" w:firstLine="330"/>
        <w:spacing w:after="0" w:line="252" w:lineRule="auto"/>
        <w:rPr>
          <w:sz w:val="20"/>
          <w:szCs w:val="20"/>
          <w:color w:val="auto"/>
        </w:rPr>
      </w:pP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We may issue shares of our common stock from time to time. Each holder of our common stock is entitled to one vote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Subject to preferences that may be applicable to any then-outstanding preferred stock, holders of common stock are entitled to receive ratably such dividends, if any, as may be declared from time to time by our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 Holders of common stock have no preemptive or conversion rights or other subscription rights and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 In this prospectus, we have summarized certain general features of our common stock under the heading “Description of Capital Stock—Common Stock.” We urge you, however, to read the applicable prospectus supplement (and any related free writing prospectus that we may authorize to be provided to you) related to any common stock being offered.</w:t>
      </w:r>
    </w:p>
    <w:p>
      <w:pPr>
        <w:spacing w:after="0" w:line="1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Preferred Stock</w:t>
      </w:r>
      <w:r>
        <w:rPr>
          <w:rFonts w:ascii="Times New Roman" w:cs="Times New Roman" w:eastAsia="Times New Roman" w:hAnsi="Times New Roman"/>
          <w:sz w:val="14"/>
          <w:szCs w:val="14"/>
          <w:color w:val="auto"/>
        </w:rPr>
        <w:t>. We may issue shares of our preferred stock from time to time, in one or more series.</w:t>
      </w:r>
    </w:p>
    <w:p>
      <w:pPr>
        <w:spacing w:after="0" w:line="176" w:lineRule="exact"/>
        <w:rPr>
          <w:sz w:val="20"/>
          <w:szCs w:val="20"/>
          <w:color w:val="auto"/>
        </w:rPr>
      </w:pPr>
    </w:p>
    <w:p>
      <w:pPr>
        <w:ind w:left="1520" w:right="439" w:firstLine="330"/>
        <w:spacing w:after="0" w:line="255" w:lineRule="auto"/>
        <w:rPr>
          <w:sz w:val="20"/>
          <w:szCs w:val="20"/>
          <w:color w:val="auto"/>
        </w:rPr>
      </w:pPr>
      <w:r>
        <w:rPr>
          <w:rFonts w:ascii="Times New Roman" w:cs="Times New Roman" w:eastAsia="Times New Roman" w:hAnsi="Times New Roman"/>
          <w:sz w:val="14"/>
          <w:szCs w:val="14"/>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Any convertible preferred stock we may issue will be convertible into our common stock or exchangeable for other securities. Conversion may be mandatory or at the holder’s option and would be at prescribed conversion rates.</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646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3535" cy="4646295"/>
                    </a:xfrm>
                    <a:prstGeom prst="rect">
                      <a:avLst/>
                    </a:prstGeom>
                    <a:noFill/>
                  </pic:spPr>
                </pic:pic>
              </a:graphicData>
            </a:graphic>
          </wp:anchor>
        </w:drawing>
      </w:r>
    </w:p>
    <w:p>
      <w:pPr>
        <w:spacing w:after="0" w:line="365" w:lineRule="exact"/>
        <w:rPr>
          <w:sz w:val="20"/>
          <w:szCs w:val="20"/>
          <w:color w:val="auto"/>
        </w:rPr>
      </w:pPr>
    </w:p>
    <w:p>
      <w:pPr>
        <w:ind w:left="1520" w:right="399" w:firstLine="330"/>
        <w:spacing w:after="0" w:line="253" w:lineRule="auto"/>
        <w:rPr>
          <w:sz w:val="20"/>
          <w:szCs w:val="20"/>
          <w:color w:val="auto"/>
        </w:rPr>
      </w:pPr>
      <w:r>
        <w:rPr>
          <w:rFonts w:ascii="Times New Roman" w:cs="Times New Roman" w:eastAsia="Times New Roman" w:hAnsi="Times New Roman"/>
          <w:sz w:val="14"/>
          <w:szCs w:val="14"/>
          <w:color w:val="auto"/>
        </w:rPr>
        <w:t>If we sell any series of preferred stock under this prospectus, we will fix the designations, voting powers, preferences and rights of such series of preferred stock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heading “Description of Capital Stock—Preferred Stock.” We urge you, however,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46" w:lineRule="exact"/>
        <w:rPr>
          <w:sz w:val="20"/>
          <w:szCs w:val="20"/>
          <w:color w:val="auto"/>
        </w:rPr>
      </w:pPr>
    </w:p>
    <w:p>
      <w:pPr>
        <w:ind w:left="1520" w:right="399" w:firstLine="330"/>
        <w:spacing w:after="0" w:line="256" w:lineRule="auto"/>
        <w:rPr>
          <w:sz w:val="20"/>
          <w:szCs w:val="20"/>
          <w:color w:val="auto"/>
        </w:rPr>
      </w:pPr>
      <w:r>
        <w:rPr>
          <w:rFonts w:ascii="Times New Roman" w:cs="Times New Roman" w:eastAsia="Times New Roman" w:hAnsi="Times New Roman"/>
          <w:sz w:val="14"/>
          <w:szCs w:val="14"/>
          <w:i w:val="1"/>
          <w:iCs w:val="1"/>
          <w:color w:val="auto"/>
        </w:rPr>
        <w:t>Debt Securities</w:t>
      </w:r>
      <w:r>
        <w:rPr>
          <w:rFonts w:ascii="Times New Roman" w:cs="Times New Roman" w:eastAsia="Times New Roman" w:hAnsi="Times New Roman"/>
          <w:sz w:val="14"/>
          <w:szCs w:val="14"/>
          <w:color w:val="auto"/>
        </w:rPr>
        <w:t>. We may issue debt securities from time to time, in one or more series, as either senior or subordinated debt or as senior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common stock or our other securities. Conversion or exchange may be mandatory or optional (at our option or the holders’ option) and would be at prescribed conversion or exchange rates.</w:t>
      </w:r>
    </w:p>
    <w:p>
      <w:pPr>
        <w:spacing w:after="0" w:line="143" w:lineRule="exact"/>
        <w:rPr>
          <w:sz w:val="20"/>
          <w:szCs w:val="20"/>
          <w:color w:val="auto"/>
        </w:rPr>
      </w:pPr>
    </w:p>
    <w:p>
      <w:pPr>
        <w:ind w:left="1520" w:right="459" w:firstLine="330"/>
        <w:spacing w:after="0" w:line="253" w:lineRule="auto"/>
        <w:rPr>
          <w:sz w:val="20"/>
          <w:szCs w:val="20"/>
          <w:color w:val="auto"/>
        </w:rPr>
      </w:pPr>
      <w:r>
        <w:rPr>
          <w:rFonts w:ascii="Times New Roman" w:cs="Times New Roman" w:eastAsia="Times New Roman" w:hAnsi="Times New Roman"/>
          <w:sz w:val="14"/>
          <w:szCs w:val="14"/>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 and any supplemental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6" w:lineRule="exact"/>
        <w:rPr>
          <w:sz w:val="20"/>
          <w:szCs w:val="20"/>
          <w:color w:val="auto"/>
        </w:rPr>
      </w:pPr>
    </w:p>
    <w:p>
      <w:pPr>
        <w:ind w:left="1520" w:right="399" w:firstLine="330"/>
        <w:spacing w:after="0" w:line="253" w:lineRule="auto"/>
        <w:rPr>
          <w:sz w:val="20"/>
          <w:szCs w:val="20"/>
          <w:color w:val="auto"/>
        </w:rPr>
      </w:pP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We may issue warrants for the purchase of common stock, preferred stock and/or debt securities in one or more series. We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 warrants independently or in combination with common stock, preferred stock and/or debt securities, and the warrants may be attached to or separate from these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as applicable,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45" w:lineRule="exact"/>
        <w:rPr>
          <w:sz w:val="20"/>
          <w:szCs w:val="20"/>
          <w:color w:val="auto"/>
        </w:rPr>
      </w:pPr>
    </w:p>
    <w:p>
      <w:pPr>
        <w:ind w:left="1520" w:right="399" w:firstLine="330"/>
        <w:spacing w:after="0" w:line="265" w:lineRule="auto"/>
        <w:rPr>
          <w:sz w:val="20"/>
          <w:szCs w:val="20"/>
          <w:color w:val="auto"/>
        </w:rPr>
      </w:pPr>
      <w:r>
        <w:rPr>
          <w:rFonts w:ascii="Times New Roman" w:cs="Times New Roman" w:eastAsia="Times New Roman" w:hAnsi="Times New Roman"/>
          <w:sz w:val="14"/>
          <w:szCs w:val="14"/>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34" w:lineRule="exact"/>
        <w:rPr>
          <w:sz w:val="20"/>
          <w:szCs w:val="20"/>
          <w:color w:val="auto"/>
        </w:rPr>
      </w:pPr>
    </w:p>
    <w:p>
      <w:pPr>
        <w:ind w:left="1520" w:right="579" w:firstLine="330"/>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Units. </w:t>
      </w:r>
      <w:r>
        <w:rPr>
          <w:rFonts w:ascii="Times New Roman" w:cs="Times New Roman" w:eastAsia="Times New Roman" w:hAnsi="Times New Roman"/>
          <w:sz w:val="14"/>
          <w:szCs w:val="14"/>
          <w:color w:val="auto"/>
        </w:rPr>
        <w:t>We may issue units comprised of one or more of the other securities described this prospectus in any combination. Each unit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so that the holder of the unit is also the holder of each security included in</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3053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23535" cy="3053080"/>
                    </a:xfrm>
                    <a:prstGeom prst="rect">
                      <a:avLst/>
                    </a:prstGeom>
                    <a:noFill/>
                  </pic:spPr>
                </pic:pic>
              </a:graphicData>
            </a:graphic>
          </wp:anchor>
        </w:drawing>
      </w:r>
    </w:p>
    <w:p>
      <w:pPr>
        <w:spacing w:after="0" w:line="365" w:lineRule="exact"/>
        <w:rPr>
          <w:sz w:val="20"/>
          <w:szCs w:val="20"/>
          <w:color w:val="auto"/>
        </w:rPr>
      </w:pPr>
    </w:p>
    <w:p>
      <w:pPr>
        <w:ind w:left="1520" w:right="399"/>
        <w:spacing w:after="0" w:line="257" w:lineRule="auto"/>
        <w:rPr>
          <w:sz w:val="20"/>
          <w:szCs w:val="20"/>
          <w:color w:val="auto"/>
        </w:rPr>
      </w:pPr>
      <w:r>
        <w:rPr>
          <w:rFonts w:ascii="Times New Roman" w:cs="Times New Roman" w:eastAsia="Times New Roman" w:hAnsi="Times New Roman"/>
          <w:sz w:val="14"/>
          <w:szCs w:val="14"/>
          <w:color w:val="auto"/>
        </w:rPr>
        <w:t>the unit. Thus, the holder of a unit will have the rights and obligations of a holder of each security included in such unit. In this prospectus, we have summarized certain general features of the units. We urge you, however, to read the applicable prospectus supplement (and any free writing prospectus that we may authorize to be provided to you) related to the particular series of units being offered, as well as the complete unit agreements that contain the terms of the units as applicable. A form of the unit agreement, as applicable, containing the terms of the unit being offered will be filed as an exhibit to the registration statement or will be incorporated by reference from reports that we file with the SEC.</w:t>
      </w:r>
    </w:p>
    <w:p>
      <w:pPr>
        <w:spacing w:after="0" w:line="142" w:lineRule="exact"/>
        <w:rPr>
          <w:sz w:val="20"/>
          <w:szCs w:val="20"/>
          <w:color w:val="auto"/>
        </w:rPr>
      </w:pPr>
    </w:p>
    <w:p>
      <w:pPr>
        <w:ind w:left="1520" w:right="419" w:firstLine="330"/>
        <w:spacing w:after="0" w:line="280" w:lineRule="auto"/>
        <w:rPr>
          <w:sz w:val="20"/>
          <w:szCs w:val="20"/>
          <w:color w:val="auto"/>
        </w:rPr>
      </w:pPr>
      <w:r>
        <w:rPr>
          <w:rFonts w:ascii="Times New Roman" w:cs="Times New Roman" w:eastAsia="Times New Roman" w:hAnsi="Times New Roman"/>
          <w:sz w:val="14"/>
          <w:szCs w:val="14"/>
          <w:color w:val="auto"/>
        </w:rPr>
        <w:t>Any units may be issued under an applicable unit agreement that we enter into with a unit agent. We will indicate the name and address of the unit agent, if applicable, in the prospectus supplement relating to the particular series of units being offered.</w:t>
      </w: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92" w:lineRule="exact"/>
        <w:rPr>
          <w:sz w:val="20"/>
          <w:szCs w:val="20"/>
          <w:color w:val="auto"/>
        </w:rPr>
      </w:pPr>
    </w:p>
    <w:p>
      <w:pPr>
        <w:ind w:left="1520" w:right="899" w:firstLine="330"/>
        <w:spacing w:after="0" w:line="265" w:lineRule="auto"/>
        <w:rPr>
          <w:sz w:val="20"/>
          <w:szCs w:val="20"/>
          <w:color w:val="auto"/>
        </w:rPr>
      </w:pPr>
      <w:r>
        <w:rPr>
          <w:rFonts w:ascii="Times New Roman" w:cs="Times New Roman" w:eastAsia="Times New Roman" w:hAnsi="Times New Roman"/>
          <w:sz w:val="14"/>
          <w:szCs w:val="14"/>
          <w:color w:val="auto"/>
        </w:rPr>
        <w:t>Selling securityholders are persons or entities that, directly or indirectly, have acquired or will from time to time acquire from us, our securities. Information about selling securityholders, if any, will be set forth in a prospectus supplement. See the section titled “Selling Securityholders” on page 33 of this prospectus.</w:t>
      </w:r>
    </w:p>
    <w:p>
      <w:pPr>
        <w:spacing w:after="0" w:line="2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2" w:lineRule="exact"/>
        <w:rPr>
          <w:sz w:val="20"/>
          <w:szCs w:val="20"/>
          <w:color w:val="auto"/>
        </w:rPr>
      </w:pPr>
    </w:p>
    <w:p>
      <w:pPr>
        <w:ind w:left="1520" w:right="499" w:firstLine="330"/>
        <w:spacing w:after="0" w:line="259"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hereby. We intend to use the net proceeds we receive from the sale of securities by us as set forth in the applicable prospectus supplement. See the section titled “Use of Proceeds” in this prospectus. Unless the applicable prospectus supplement provides otherwise, we will not receive any of the proceeds from the sale of our securities by selling securityholders.</w:t>
      </w:r>
    </w:p>
    <w:p>
      <w:pPr>
        <w:spacing w:after="0" w:line="2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92" w:lineRule="exact"/>
        <w:rPr>
          <w:sz w:val="20"/>
          <w:szCs w:val="20"/>
          <w:color w:val="auto"/>
        </w:rPr>
      </w:pPr>
    </w:p>
    <w:p>
      <w:pPr>
        <w:ind w:left="1520" w:right="439" w:firstLine="330"/>
        <w:spacing w:after="0" w:line="265"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“ANNX.” The applicable prospectus supplement will contain information, where applicable, as to other listings, if any, on the Nasdaq Global Select Market or other securities exchange of the securities covered by the applicable prospectus supplement.</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any applicable prospectus supplement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entitled “Special Note Regarding Forward-Looking Statements” in this prospectus.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All statements other than statements of historical facts contained in this prospectus, including statements regarding our future results of operations and financial condition, business strategy and plans and objectives of management for future operations, are forward-looking statements. In some cases, forward-looking statements may be identified by words such as “aim,” “anticipate,” “assume,” “believe,” “contemplate,” “continue,” “could,” “design,” “due,” “estimate,” “expect,” “goal,” “intend,” “may,” “objective,” “plan,” “positioned,” “potential,” “predict,” “seek,” “should,” “target,” “will,” “would” or the negative of these terms or other similar expressions.</w:t>
      </w:r>
    </w:p>
    <w:p>
      <w:pPr>
        <w:spacing w:after="0" w:line="150" w:lineRule="exact"/>
        <w:rPr>
          <w:sz w:val="20"/>
          <w:szCs w:val="20"/>
          <w:color w:val="auto"/>
        </w:rPr>
      </w:pPr>
    </w:p>
    <w:p>
      <w:pPr>
        <w:ind w:left="1380" w:right="319" w:firstLine="341"/>
        <w:spacing w:after="0" w:line="254"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and in our most recent Annual Report on Form 10-K,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Forward-looking statements may include, but are not limited to, statements about:</w:t>
      </w:r>
    </w:p>
    <w:p>
      <w:pPr>
        <w:spacing w:after="0" w:line="72" w:lineRule="exact"/>
        <w:rPr>
          <w:sz w:val="20"/>
          <w:szCs w:val="20"/>
          <w:color w:val="auto"/>
        </w:rPr>
      </w:pPr>
    </w:p>
    <w:p>
      <w:pPr>
        <w:ind w:left="2140" w:right="339" w:hanging="343"/>
        <w:spacing w:after="0" w:line="280" w:lineRule="auto"/>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market size and size of the potential patient populations for our product candidates and any future product candidates, if approved for commercial use;</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and regulatory development plans;</w:t>
      </w:r>
    </w:p>
    <w:p>
      <w:pPr>
        <w:spacing w:after="0" w:line="100"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regard to the results of our clinical studies, preclinical studies and research and development programs, including the timing and availability of data from such studies;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commencement of future nonclinical studies and clinical trials and research and development programs;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discover, develop and advance product candidates into, and successfully complete, clinical trials;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and our ability to establish collaborations and/or partnerships;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 for our product candidates;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expectations;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with respect to the commercialization of our product candidates;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0" w:lineRule="exact"/>
        <w:rPr>
          <w:rFonts w:ascii="Times New Roman" w:cs="Times New Roman" w:eastAsia="Times New Roman" w:hAnsi="Times New Roman"/>
          <w:sz w:val="14"/>
          <w:szCs w:val="14"/>
          <w:color w:val="auto"/>
        </w:rPr>
      </w:pPr>
    </w:p>
    <w:p>
      <w:pPr>
        <w:ind w:left="2140" w:right="339" w:hanging="343"/>
        <w:spacing w:after="0" w:line="280" w:lineRule="auto"/>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 including additional indications for which we may pursue;</w:t>
      </w:r>
    </w:p>
    <w:p>
      <w:pPr>
        <w:spacing w:after="0" w:line="53" w:lineRule="exact"/>
        <w:rPr>
          <w:rFonts w:ascii="Times New Roman" w:cs="Times New Roman" w:eastAsia="Times New Roman" w:hAnsi="Times New Roman"/>
          <w:sz w:val="14"/>
          <w:szCs w:val="14"/>
          <w:color w:val="auto"/>
        </w:rPr>
      </w:pPr>
    </w:p>
    <w:p>
      <w:pPr>
        <w:ind w:left="2140" w:right="319" w:hanging="343"/>
        <w:spacing w:after="0" w:line="280" w:lineRule="auto"/>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including the projected terms of patent protection;</w:t>
      </w:r>
    </w:p>
    <w:p>
      <w:pPr>
        <w:spacing w:after="0" w:line="53" w:lineRule="exact"/>
        <w:rPr>
          <w:rFonts w:ascii="Times New Roman" w:cs="Times New Roman" w:eastAsia="Times New Roman" w:hAnsi="Times New Roman"/>
          <w:sz w:val="14"/>
          <w:szCs w:val="14"/>
          <w:color w:val="auto"/>
        </w:rPr>
      </w:pPr>
    </w:p>
    <w:p>
      <w:pPr>
        <w:ind w:left="2140" w:right="599" w:hanging="343"/>
        <w:spacing w:after="0" w:line="280" w:lineRule="auto"/>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expenses, future revenue, capital requirements, our needs for additional financing and our ability to obtain additional capital;</w:t>
      </w:r>
    </w:p>
    <w:p>
      <w:pPr>
        <w:spacing w:after="0" w:line="1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intended use of proceeds from this offering and our existing cash, cash equivalents and marketable securities;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future sales of our common stock under our at-the-market offering program;</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or operating performance;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and our industry, including competing products.</w:t>
      </w:r>
    </w:p>
    <w:p>
      <w:pPr>
        <w:spacing w:after="0" w:line="174"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These risks are not exhaustive. Other sections of this prospectus may include additional factors that could harm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such factors on our business or the extent to which any such factor, or combination of such factors, may cause actual results to differ from those contained in, or implied by, any forward-looking statements.</w:t>
      </w:r>
    </w:p>
    <w:p>
      <w:pPr>
        <w:spacing w:after="0" w:line="142" w:lineRule="exact"/>
        <w:rPr>
          <w:sz w:val="20"/>
          <w:szCs w:val="20"/>
          <w:color w:val="auto"/>
        </w:rPr>
      </w:pPr>
    </w:p>
    <w:p>
      <w:pPr>
        <w:jc w:val="both"/>
        <w:ind w:left="1380" w:right="419" w:firstLine="341"/>
        <w:spacing w:after="0" w:line="259"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41"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In addition, statements containing the words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42" w:lineRule="exact"/>
        <w:rPr>
          <w:sz w:val="20"/>
          <w:szCs w:val="20"/>
          <w:color w:val="auto"/>
        </w:rPr>
      </w:pPr>
    </w:p>
    <w:p>
      <w:pPr>
        <w:ind w:left="1380" w:right="459" w:firstLine="341"/>
        <w:spacing w:after="0" w:line="259"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we have filed with the SEC that are incorporated by reference herein and therein and any free writing prospectuses that we may authorize for use in connection with a specific offering completely and with the understanding that our actual future results, levels of activity, performance and achievements may be different from what we expect. We qualify all of our forward-looking statements by these cautionary statements.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ind w:left="1380" w:right="359" w:firstLine="341"/>
        <w:spacing w:after="0" w:line="253" w:lineRule="auto"/>
        <w:rPr>
          <w:sz w:val="20"/>
          <w:szCs w:val="20"/>
          <w:color w:val="auto"/>
        </w:rPr>
      </w:pPr>
      <w:r>
        <w:rPr>
          <w:rFonts w:ascii="Times New Roman" w:cs="Times New Roman" w:eastAsia="Times New Roman" w:hAnsi="Times New Roman"/>
          <w:sz w:val="14"/>
          <w:szCs w:val="14"/>
          <w:color w:val="auto"/>
        </w:rPr>
        <w:t>Except as described in any prospectus supplement or in any related free writing prospectus that we may authorize to be provided to you in connection with a specific offering, we currently intend to use the net proceeds from the sale of securities under this prospectus for general corporate purposes, including research and development expenses, selling, general and administrative expenses and capital expenditures.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short and intermediate-term, interest-bearing obligations, investment-grade instruments, certificates of deposit or direct or guaranteed obligations of the U.S. government. Unless the applicable prospectus supplement provides otherwise, we will not receive any of the proceeds from the sale of our securities by selling securityholders.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380" w:right="359" w:firstLine="341"/>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summary describes our capital stock and the material provisions of our amended and restated certificate of incorporation and our amended and restated bylaws and the applicable provisions of the Delaware General Corporation Law (the “DGCL”). Because the following is only a summary, it does not contain all of the information that may be important to you. For a complete description, you should refer to our amended and restated certificate of incorporation and amended and restated bylaws, each of which has been publicly filed with the U.S. Securities and Exchange Commission (the “SEC”).</w:t>
      </w:r>
    </w:p>
    <w:p>
      <w:pPr>
        <w:spacing w:after="0" w:line="2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380" w:right="279" w:firstLine="341"/>
        <w:spacing w:after="0" w:line="280" w:lineRule="auto"/>
        <w:rPr>
          <w:sz w:val="20"/>
          <w:szCs w:val="20"/>
          <w:color w:val="auto"/>
        </w:rPr>
      </w:pPr>
      <w:r>
        <w:rPr>
          <w:rFonts w:ascii="Times New Roman" w:cs="Times New Roman" w:eastAsia="Times New Roman" w:hAnsi="Times New Roman"/>
          <w:sz w:val="14"/>
          <w:szCs w:val="14"/>
          <w:color w:val="auto"/>
        </w:rPr>
        <w:t>Our authorized capital stock consists of 300,000,000 shares of common stock, par value $0.001 per share, and 5,000,000 shares of preferred stock, par value $0.001 per share.</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92" w:lineRule="exact"/>
        <w:rPr>
          <w:sz w:val="20"/>
          <w:szCs w:val="20"/>
          <w:color w:val="auto"/>
        </w:rPr>
      </w:pPr>
    </w:p>
    <w:p>
      <w:pPr>
        <w:ind w:left="1380" w:right="299" w:firstLine="341"/>
        <w:spacing w:after="0" w:line="255" w:lineRule="auto"/>
        <w:rPr>
          <w:sz w:val="20"/>
          <w:szCs w:val="20"/>
          <w:color w:val="auto"/>
        </w:rPr>
      </w:pPr>
      <w:r>
        <w:rPr>
          <w:rFonts w:ascii="Times New Roman" w:cs="Times New Roman" w:eastAsia="Times New Roman" w:hAnsi="Times New Roman"/>
          <w:sz w:val="14"/>
          <w:szCs w:val="14"/>
          <w:color w:val="auto"/>
        </w:rPr>
        <w:t>Each holder of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Other matters shall be generally decided by the affirmative vote of the holders of a majority of the votes cast (excluding abstentions and broker non-votes) on such matter. In addition, the affirmative vote of holders of 66 2/3% of the voting power of all of the then outstanding voting stock will be required to take certain actions, including amending certain provisions of our amended and restated certificate of incorporation, including the provisions relating to amending our amended and restated bylaws, the classified board and director liability.</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2" w:lineRule="exact"/>
        <w:rPr>
          <w:sz w:val="20"/>
          <w:szCs w:val="20"/>
          <w:color w:val="auto"/>
        </w:rPr>
      </w:pPr>
    </w:p>
    <w:p>
      <w:pPr>
        <w:ind w:left="1380" w:right="739" w:firstLine="341"/>
        <w:spacing w:after="0" w:line="280" w:lineRule="auto"/>
        <w:rPr>
          <w:sz w:val="20"/>
          <w:szCs w:val="20"/>
          <w:color w:val="auto"/>
        </w:rPr>
      </w:pPr>
      <w:r>
        <w:rPr>
          <w:rFonts w:ascii="Times New Roman" w:cs="Times New Roman" w:eastAsia="Times New Roman" w:hAnsi="Times New Roman"/>
          <w:sz w:val="14"/>
          <w:szCs w:val="14"/>
          <w:color w:val="auto"/>
        </w:rPr>
        <w:t>Subject to preferences that may be applicable to any then-outstanding preferred stock, holders of our common stock are entitled to receive dividends as may be declared from time to time by our board of directors out of legally available funds.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Liquidation</w:t>
      </w:r>
    </w:p>
    <w:p>
      <w:pPr>
        <w:spacing w:after="0" w:line="92" w:lineRule="exact"/>
        <w:rPr>
          <w:sz w:val="20"/>
          <w:szCs w:val="20"/>
          <w:color w:val="auto"/>
        </w:rPr>
      </w:pPr>
    </w:p>
    <w:p>
      <w:pPr>
        <w:ind w:left="1380" w:right="439" w:firstLine="341"/>
        <w:spacing w:after="0" w:line="265"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Rights and Preferences</w:t>
      </w:r>
    </w:p>
    <w:p>
      <w:pPr>
        <w:spacing w:after="0" w:line="92" w:lineRule="exact"/>
        <w:rPr>
          <w:sz w:val="20"/>
          <w:szCs w:val="20"/>
          <w:color w:val="auto"/>
        </w:rPr>
      </w:pPr>
    </w:p>
    <w:p>
      <w:pPr>
        <w:ind w:left="1380" w:right="599" w:firstLine="341"/>
        <w:spacing w:after="0" w:line="265" w:lineRule="auto"/>
        <w:rPr>
          <w:sz w:val="20"/>
          <w:szCs w:val="20"/>
          <w:color w:val="auto"/>
        </w:rPr>
      </w:pPr>
      <w:r>
        <w:rPr>
          <w:rFonts w:ascii="Times New Roman" w:cs="Times New Roman" w:eastAsia="Times New Roman" w:hAnsi="Times New Roman"/>
          <w:sz w:val="14"/>
          <w:szCs w:val="14"/>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All of our outstanding shares of common stock are fully paid and nonassessable.</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2" w:lineRule="exact"/>
        <w:rPr>
          <w:sz w:val="20"/>
          <w:szCs w:val="20"/>
          <w:color w:val="auto"/>
        </w:rPr>
      </w:pPr>
    </w:p>
    <w:p>
      <w:pPr>
        <w:ind w:left="1380" w:right="339" w:firstLine="341"/>
        <w:spacing w:after="0" w:line="254"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227" w:lineRule="exact"/>
        <w:rPr>
          <w:sz w:val="20"/>
          <w:szCs w:val="20"/>
          <w:color w:val="auto"/>
        </w:rPr>
      </w:pPr>
    </w:p>
    <w:p>
      <w:pPr>
        <w:ind w:left="1380" w:right="299"/>
        <w:spacing w:after="0" w:line="283" w:lineRule="auto"/>
        <w:rPr>
          <w:sz w:val="20"/>
          <w:szCs w:val="20"/>
          <w:color w:val="auto"/>
        </w:rPr>
      </w:pPr>
      <w:r>
        <w:rPr>
          <w:rFonts w:ascii="Times New Roman" w:cs="Times New Roman" w:eastAsia="Times New Roman" w:hAnsi="Times New Roman"/>
          <w:sz w:val="14"/>
          <w:szCs w:val="14"/>
          <w:b w:val="1"/>
          <w:bCs w:val="1"/>
          <w:color w:val="auto"/>
        </w:rPr>
        <w:t>Anti-Takeover Effects of Provisions of Delaware Law and Our Amended and Restated Certificate of Incorporation and Amended and Restated Bylaws</w:t>
      </w:r>
    </w:p>
    <w:p>
      <w:pPr>
        <w:spacing w:after="0" w:line="41"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42" w:lineRule="exact"/>
        <w:rPr>
          <w:sz w:val="20"/>
          <w:szCs w:val="20"/>
          <w:color w:val="auto"/>
        </w:rPr>
      </w:pPr>
    </w:p>
    <w:p>
      <w:pPr>
        <w:ind w:left="1380" w:right="259" w:firstLine="341"/>
        <w:spacing w:after="0" w:line="259" w:lineRule="auto"/>
        <w:rPr>
          <w:sz w:val="20"/>
          <w:szCs w:val="20"/>
          <w:color w:val="auto"/>
        </w:rPr>
      </w:pPr>
      <w:r>
        <w:rPr>
          <w:rFonts w:ascii="Times New Roman" w:cs="Times New Roman" w:eastAsia="Times New Roman" w:hAnsi="Times New Roman"/>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Statute</w:t>
      </w:r>
    </w:p>
    <w:p>
      <w:pPr>
        <w:spacing w:after="0" w:line="92"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Undesignated Preferred Stock</w:t>
      </w:r>
    </w:p>
    <w:p>
      <w:pPr>
        <w:spacing w:after="0" w:line="92"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Special Stockholder Meetings</w:t>
      </w:r>
    </w:p>
    <w:p>
      <w:pPr>
        <w:spacing w:after="0" w:line="92" w:lineRule="exact"/>
        <w:rPr>
          <w:sz w:val="20"/>
          <w:szCs w:val="20"/>
          <w:color w:val="auto"/>
        </w:rPr>
      </w:pPr>
    </w:p>
    <w:p>
      <w:pPr>
        <w:ind w:left="1380" w:right="49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 that a special meeting of stockholders may be called at any time by our board of directors, but such special meetings may not be called by the stockholders or any other person or persons.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Requirements for Advance Notification of Stockholder Nominations and Proposals</w:t>
      </w:r>
    </w:p>
    <w:p>
      <w:pPr>
        <w:spacing w:after="0" w:line="92" w:lineRule="exact"/>
        <w:rPr>
          <w:sz w:val="20"/>
          <w:szCs w:val="20"/>
          <w:color w:val="auto"/>
        </w:rPr>
      </w:pPr>
    </w:p>
    <w:p>
      <w:pPr>
        <w:ind w:left="1380" w:right="31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Stockholder Action by Written Consent</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Our amended and restated certificate of incorporation precludes stockholder action by written consent without a meeting.</w:t>
      </w:r>
    </w:p>
    <w:p>
      <w:pPr>
        <w:spacing w:after="0" w:line="2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Classified Board; Election and Removal of Directors; Filling Vacancies</w:t>
      </w:r>
    </w:p>
    <w:p>
      <w:pPr>
        <w:spacing w:after="0" w:line="92"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Choice of Forum</w:t>
      </w:r>
    </w:p>
    <w:p>
      <w:pPr>
        <w:spacing w:after="0" w:line="92" w:lineRule="exact"/>
        <w:rPr>
          <w:sz w:val="20"/>
          <w:szCs w:val="20"/>
          <w:color w:val="auto"/>
        </w:rPr>
      </w:pPr>
    </w:p>
    <w:p>
      <w:pPr>
        <w:ind w:left="1380" w:right="259" w:firstLine="341"/>
        <w:spacing w:after="0" w:line="25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51" w:lineRule="exact"/>
        <w:rPr>
          <w:sz w:val="20"/>
          <w:szCs w:val="20"/>
          <w:color w:val="auto"/>
        </w:rPr>
      </w:pPr>
    </w:p>
    <w:p>
      <w:pPr>
        <w:ind w:left="1380" w:right="679" w:firstLine="341"/>
        <w:spacing w:after="0" w:line="280" w:lineRule="auto"/>
        <w:rPr>
          <w:sz w:val="20"/>
          <w:szCs w:val="20"/>
          <w:color w:val="auto"/>
        </w:rPr>
      </w:pPr>
      <w:r>
        <w:rPr>
          <w:rFonts w:ascii="Times New Roman" w:cs="Times New Roman" w:eastAsia="Times New Roman" w:hAnsi="Times New Roman"/>
          <w:sz w:val="14"/>
          <w:szCs w:val="14"/>
          <w:color w:val="auto"/>
        </w:rPr>
        <w:t>If any action the subject matter of which is within the scope described above is filed in a court other than a court located within the State of Delaware, or a Foreign Action, in the name of any stockholder, such stockholder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55" w:lineRule="auto"/>
        <w:rPr>
          <w:sz w:val="20"/>
          <w:szCs w:val="20"/>
          <w:color w:val="auto"/>
        </w:rPr>
      </w:pPr>
      <w:r>
        <w:rPr>
          <w:rFonts w:ascii="Times New Roman" w:cs="Times New Roman" w:eastAsia="Times New Roman" w:hAnsi="Times New Roman"/>
          <w:sz w:val="14"/>
          <w:szCs w:val="14"/>
          <w:color w:val="auto"/>
        </w:rPr>
        <w:t>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45" w:lineRule="exact"/>
        <w:rPr>
          <w:sz w:val="20"/>
          <w:szCs w:val="20"/>
          <w:color w:val="auto"/>
        </w:rPr>
      </w:pPr>
    </w:p>
    <w:p>
      <w:pPr>
        <w:jc w:val="both"/>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Amendment of Charter Provisions</w:t>
      </w:r>
    </w:p>
    <w:p>
      <w:pPr>
        <w:spacing w:after="0" w:line="92"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The amendment of any of the above provisions in our amended and restated certificate of incorporation, except for the provision making it possible for our board of directors to issue undesignated preferred stock, requires approval by a stockholder vote by the holders of at least a 66 2/3% of the voting power of the then outstanding voting stock.</w:t>
      </w:r>
    </w:p>
    <w:p>
      <w:pPr>
        <w:spacing w:after="0" w:line="136"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Limitation on Liability and Indemnification</w:t>
      </w:r>
    </w:p>
    <w:p>
      <w:pPr>
        <w:spacing w:after="0" w:line="92" w:lineRule="exact"/>
        <w:rPr>
          <w:sz w:val="20"/>
          <w:szCs w:val="20"/>
          <w:color w:val="auto"/>
        </w:rPr>
      </w:pPr>
    </w:p>
    <w:p>
      <w:pPr>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limit our directors’ liability, contain provisions that provide that we may 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63" w:lineRule="exact"/>
        <w:rPr>
          <w:sz w:val="20"/>
          <w:szCs w:val="20"/>
          <w:color w:val="auto"/>
        </w:rPr>
      </w:pPr>
    </w:p>
    <w:p>
      <w:pPr>
        <w:ind w:left="2140" w:hanging="343"/>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from which the director derives an improper personal benefit;</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 or omission not in good faith or that involves intentional misconduct or a knowing violation of law;</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 of dividends or redemption of shares; or</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a director’s duty of loyalty to the corporation or its stockholders.</w:t>
      </w:r>
    </w:p>
    <w:p>
      <w:pPr>
        <w:spacing w:after="0" w:line="174" w:lineRule="exact"/>
        <w:rPr>
          <w:sz w:val="20"/>
          <w:szCs w:val="20"/>
          <w:color w:val="auto"/>
        </w:rPr>
      </w:pPr>
    </w:p>
    <w:p>
      <w:pPr>
        <w:ind w:left="1380" w:right="319" w:firstLine="341"/>
        <w:spacing w:after="0" w:line="280" w:lineRule="auto"/>
        <w:rPr>
          <w:sz w:val="20"/>
          <w:szCs w:val="20"/>
          <w:color w:val="auto"/>
        </w:rPr>
      </w:pPr>
      <w:r>
        <w:rPr>
          <w:rFonts w:ascii="Times New Roman" w:cs="Times New Roman" w:eastAsia="Times New Roman" w:hAnsi="Times New Roman"/>
          <w:sz w:val="14"/>
          <w:szCs w:val="14"/>
          <w:color w:val="auto"/>
        </w:rPr>
        <w:t>These limitations of liability do not apply to liabilities arising under federal securities laws and do not affect the availability of equitable remedies such as injunctive relief or recession.</w:t>
      </w:r>
    </w:p>
    <w:p>
      <w:pPr>
        <w:spacing w:after="0" w:line="126" w:lineRule="exact"/>
        <w:rPr>
          <w:sz w:val="20"/>
          <w:szCs w:val="20"/>
          <w:color w:val="auto"/>
        </w:rPr>
      </w:pPr>
    </w:p>
    <w:p>
      <w:pPr>
        <w:ind w:left="1380" w:right="439" w:firstLine="341"/>
        <w:spacing w:after="0" w:line="259" w:lineRule="auto"/>
        <w:rPr>
          <w:sz w:val="20"/>
          <w:szCs w:val="20"/>
          <w:color w:val="auto"/>
        </w:rPr>
      </w:pPr>
      <w:r>
        <w:rPr>
          <w:rFonts w:ascii="Times New Roman" w:cs="Times New Roman" w:eastAsia="Times New Roman" w:hAnsi="Times New Roman"/>
          <w:sz w:val="14"/>
          <w:szCs w:val="14"/>
          <w:color w:val="auto"/>
        </w:rPr>
        <w:t>The DGCL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41" w:lineRule="exact"/>
        <w:rPr>
          <w:sz w:val="20"/>
          <w:szCs w:val="20"/>
          <w:color w:val="auto"/>
        </w:rPr>
      </w:pPr>
    </w:p>
    <w:p>
      <w:pPr>
        <w:jc w:val="both"/>
        <w:ind w:left="1380" w:right="599" w:firstLine="341"/>
        <w:spacing w:after="0" w:line="265" w:lineRule="auto"/>
        <w:rPr>
          <w:sz w:val="20"/>
          <w:szCs w:val="20"/>
          <w:color w:val="auto"/>
        </w:rPr>
      </w:pPr>
      <w:r>
        <w:rPr>
          <w:rFonts w:ascii="Times New Roman" w:cs="Times New Roman" w:eastAsia="Times New Roman" w:hAnsi="Times New Roman"/>
          <w:sz w:val="14"/>
          <w:szCs w:val="14"/>
          <w:color w:val="auto"/>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479"/>
        <w:spacing w:after="0" w:line="280" w:lineRule="auto"/>
        <w:rPr>
          <w:sz w:val="20"/>
          <w:szCs w:val="20"/>
          <w:color w:val="auto"/>
        </w:rPr>
      </w:pPr>
      <w:r>
        <w:rPr>
          <w:rFonts w:ascii="Times New Roman" w:cs="Times New Roman" w:eastAsia="Times New Roman" w:hAnsi="Times New Roman"/>
          <w:sz w:val="14"/>
          <w:szCs w:val="14"/>
          <w:color w:val="auto"/>
        </w:rPr>
        <w:t>incurred by a director or officer in any action or proceeding arising out of their services as a director or officer, or any other company or enterprise to which the person provides services at our request.</w:t>
      </w:r>
    </w:p>
    <w:p>
      <w:pPr>
        <w:spacing w:after="0" w:line="126" w:lineRule="exact"/>
        <w:rPr>
          <w:sz w:val="20"/>
          <w:szCs w:val="20"/>
          <w:color w:val="auto"/>
        </w:rPr>
      </w:pPr>
    </w:p>
    <w:p>
      <w:pPr>
        <w:ind w:left="1380" w:right="479" w:firstLine="341"/>
        <w:spacing w:after="0" w:line="280" w:lineRule="auto"/>
        <w:rPr>
          <w:sz w:val="20"/>
          <w:szCs w:val="20"/>
          <w:color w:val="auto"/>
        </w:rPr>
      </w:pPr>
      <w:r>
        <w:rPr>
          <w:rFonts w:ascii="Times New Roman" w:cs="Times New Roman" w:eastAsia="Times New Roman" w:hAnsi="Times New Roman"/>
          <w:sz w:val="14"/>
          <w:szCs w:val="14"/>
          <w:color w:val="auto"/>
        </w:rPr>
        <w:t>We also maintain a directors’ and officers’ insurance policy pursuant to which our directors and officers are insured against liability for actions taken in their capacities as directors and officers.</w:t>
      </w:r>
    </w:p>
    <w:p>
      <w:pPr>
        <w:spacing w:after="0" w:line="126" w:lineRule="exact"/>
        <w:rPr>
          <w:sz w:val="20"/>
          <w:szCs w:val="20"/>
          <w:color w:val="auto"/>
        </w:rPr>
      </w:pPr>
    </w:p>
    <w:p>
      <w:pPr>
        <w:ind w:left="1380" w:right="1039" w:firstLine="341"/>
        <w:spacing w:after="0" w:line="280" w:lineRule="auto"/>
        <w:rPr>
          <w:sz w:val="20"/>
          <w:szCs w:val="20"/>
          <w:color w:val="auto"/>
        </w:rPr>
      </w:pPr>
      <w:r>
        <w:rPr>
          <w:rFonts w:ascii="Times New Roman" w:cs="Times New Roman" w:eastAsia="Times New Roman" w:hAnsi="Times New Roman"/>
          <w:sz w:val="14"/>
          <w:szCs w:val="14"/>
          <w:color w:val="auto"/>
        </w:rPr>
        <w:t>We believe that these provisions in our amended and restated certificate of incorporation and amended and restated bylaws and these indemnification agreements are necessary to attract and retain qualified persons as directors and officers.</w:t>
      </w:r>
    </w:p>
    <w:p>
      <w:pPr>
        <w:spacing w:after="0" w:line="126" w:lineRule="exact"/>
        <w:rPr>
          <w:sz w:val="20"/>
          <w:szCs w:val="20"/>
          <w:color w:val="auto"/>
        </w:rPr>
      </w:pPr>
    </w:p>
    <w:p>
      <w:pPr>
        <w:ind w:left="1380" w:right="379" w:firstLine="341"/>
        <w:spacing w:after="0" w:line="280"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2"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 The transfer agent and registrar’s address is 150 Royall Street, Canton, Massachusetts 02021. The transfer agent for any series of preferred stock that we or selling securityholders may offer under this prospectus will be named and described in the applicable prospectus supplement for that series.</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Listing on the Nasdaq Global Select Market</w:t>
      </w:r>
    </w:p>
    <w:p>
      <w:pPr>
        <w:spacing w:after="0" w:line="92"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“ANNX.” The applicable prospectus supplement will contain information, where applicable, as to any other listing, if any, on the Nasdaq Global Select Market or any securities market or other exchange of the preferred stock covered by such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6" w:lineRule="exact"/>
        <w:rPr>
          <w:sz w:val="20"/>
          <w:szCs w:val="20"/>
          <w:color w:val="auto"/>
        </w:rPr>
      </w:pPr>
    </w:p>
    <w:p>
      <w:pPr>
        <w:ind w:left="1380" w:right="339" w:firstLine="341"/>
        <w:spacing w:after="0" w:line="259"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w:t>
      </w:r>
    </w:p>
    <w:p>
      <w:pPr>
        <w:spacing w:after="0" w:line="141" w:lineRule="exact"/>
        <w:rPr>
          <w:sz w:val="20"/>
          <w:szCs w:val="20"/>
          <w:color w:val="auto"/>
        </w:rPr>
      </w:pPr>
    </w:p>
    <w:p>
      <w:pPr>
        <w:ind w:left="1380" w:right="299" w:firstLine="341"/>
        <w:spacing w:after="0" w:line="253" w:lineRule="auto"/>
        <w:rPr>
          <w:sz w:val="20"/>
          <w:szCs w:val="20"/>
          <w:color w:val="auto"/>
        </w:rPr>
      </w:pPr>
      <w:r>
        <w:rPr>
          <w:rFonts w:ascii="Times New Roman" w:cs="Times New Roman" w:eastAsia="Times New Roman" w:hAnsi="Times New Roman"/>
          <w:sz w:val="14"/>
          <w:szCs w:val="14"/>
          <w:color w:val="auto"/>
        </w:rPr>
        <w:t>We will issue the debt securities under either the senior indenture or the subordinated indenture that we will enter into with trustee named in the applicable indenture. If we offer senior debt securities, we will issue them under the senior indenture. If we issue subordinated debt securities, we will issue them under the subordinated indenture. We have filed the forms of indentures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 of 1939, as amended, or the Trust Indenture Act. Unless the context requires otherwise, whenever we refer to the indenture, we are referring to the senior indenture or the subordinated indenture, as applicable, and we also are referring to any supplemental indentures that specify the terms of a particular series of debt securities.</w:t>
      </w:r>
    </w:p>
    <w:p>
      <w:pPr>
        <w:spacing w:after="0" w:line="148" w:lineRule="exact"/>
        <w:rPr>
          <w:sz w:val="20"/>
          <w:szCs w:val="20"/>
          <w:color w:val="auto"/>
        </w:rPr>
      </w:pPr>
    </w:p>
    <w:p>
      <w:pPr>
        <w:ind w:left="1380" w:right="399" w:firstLine="341"/>
        <w:spacing w:after="0" w:line="259"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indentures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380" w:right="399" w:firstLine="341"/>
        <w:spacing w:after="0" w:line="286" w:lineRule="auto"/>
        <w:rPr>
          <w:sz w:val="20"/>
          <w:szCs w:val="20"/>
          <w:color w:val="auto"/>
        </w:rPr>
      </w:pPr>
      <w:r>
        <w:rPr>
          <w:rFonts w:ascii="Times New Roman" w:cs="Times New Roman" w:eastAsia="Times New Roman" w:hAnsi="Times New Roman"/>
          <w:sz w:val="13"/>
          <w:szCs w:val="13"/>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4" w:lineRule="exact"/>
        <w:rPr>
          <w:sz w:val="20"/>
          <w:szCs w:val="20"/>
          <w:color w:val="auto"/>
        </w:rPr>
      </w:pPr>
    </w:p>
    <w:p>
      <w:pPr>
        <w:ind w:left="1380" w:right="459" w:firstLine="341"/>
        <w:spacing w:after="0" w:line="257"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100" w:lineRule="exact"/>
        <w:rPr>
          <w:sz w:val="20"/>
          <w:szCs w:val="20"/>
          <w:color w:val="auto"/>
        </w:rPr>
      </w:pPr>
    </w:p>
    <w:p>
      <w:pPr>
        <w:ind w:left="2140" w:hanging="34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00" w:lineRule="exact"/>
        <w:rPr>
          <w:rFonts w:ascii="Times New Roman" w:cs="Times New Roman" w:eastAsia="Times New Roman" w:hAnsi="Times New Roman"/>
          <w:sz w:val="14"/>
          <w:szCs w:val="14"/>
          <w:color w:val="auto"/>
        </w:rPr>
      </w:pPr>
    </w:p>
    <w:p>
      <w:pPr>
        <w:ind w:left="5580" w:right="2559" w:hanging="3783"/>
        <w:spacing w:after="0" w:line="452" w:lineRule="auto"/>
        <w:tabs>
          <w:tab w:leader="none" w:pos="213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 18</w:t>
      </w:r>
    </w:p>
    <w:p>
      <w:pPr>
        <w:sectPr>
          <w:pgSz w:w="11900" w:h="16838" w:orient="portrait"/>
          <w:cols w:equalWidth="0" w:num="1">
            <w:col w:w="10159"/>
          </w:cols>
          <w:pgMar w:left="300" w:top="38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43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4"/>
          <w:szCs w:val="14"/>
          <w:color w:val="auto"/>
        </w:rPr>
      </w:pPr>
    </w:p>
    <w:p>
      <w:pPr>
        <w:ind w:left="2140" w:right="359" w:hanging="343"/>
        <w:spacing w:after="0" w:line="259"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8" w:lineRule="exact"/>
        <w:rPr>
          <w:rFonts w:ascii="Times New Roman" w:cs="Times New Roman" w:eastAsia="Times New Roman" w:hAnsi="Times New Roman"/>
          <w:sz w:val="14"/>
          <w:szCs w:val="14"/>
          <w:color w:val="auto"/>
        </w:rPr>
      </w:pPr>
    </w:p>
    <w:p>
      <w:pPr>
        <w:ind w:left="2140" w:right="399" w:hanging="343"/>
        <w:spacing w:after="0" w:line="321" w:lineRule="auto"/>
        <w:tabs>
          <w:tab w:leader="none" w:pos="21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8" w:lineRule="exact"/>
        <w:rPr>
          <w:rFonts w:ascii="Times New Roman" w:cs="Times New Roman" w:eastAsia="Times New Roman" w:hAnsi="Times New Roman"/>
          <w:sz w:val="13"/>
          <w:szCs w:val="13"/>
          <w:color w:val="auto"/>
        </w:rPr>
      </w:pPr>
    </w:p>
    <w:p>
      <w:pPr>
        <w:ind w:left="2140" w:hanging="34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00" w:lineRule="exact"/>
        <w:rPr>
          <w:rFonts w:ascii="Times New Roman" w:cs="Times New Roman" w:eastAsia="Times New Roman" w:hAnsi="Times New Roman"/>
          <w:sz w:val="14"/>
          <w:szCs w:val="14"/>
          <w:color w:val="auto"/>
        </w:rPr>
      </w:pPr>
    </w:p>
    <w:p>
      <w:pPr>
        <w:ind w:left="2140" w:right="399" w:hanging="343"/>
        <w:spacing w:after="0" w:line="265"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2" w:lineRule="exact"/>
        <w:rPr>
          <w:rFonts w:ascii="Times New Roman" w:cs="Times New Roman" w:eastAsia="Times New Roman" w:hAnsi="Times New Roman"/>
          <w:sz w:val="14"/>
          <w:szCs w:val="14"/>
          <w:color w:val="auto"/>
        </w:rPr>
      </w:pPr>
    </w:p>
    <w:p>
      <w:pPr>
        <w:ind w:left="2140" w:right="259" w:hanging="343"/>
        <w:spacing w:after="0" w:line="265"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2" w:lineRule="exact"/>
        <w:rPr>
          <w:rFonts w:ascii="Times New Roman" w:cs="Times New Roman" w:eastAsia="Times New Roman" w:hAnsi="Times New Roman"/>
          <w:sz w:val="14"/>
          <w:szCs w:val="14"/>
          <w:color w:val="auto"/>
        </w:rPr>
      </w:pPr>
    </w:p>
    <w:p>
      <w:pPr>
        <w:ind w:left="2140" w:right="57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4"/>
          <w:szCs w:val="14"/>
          <w:color w:val="auto"/>
        </w:rPr>
      </w:pPr>
    </w:p>
    <w:p>
      <w:pPr>
        <w:ind w:left="2140" w:right="619" w:hanging="343"/>
        <w:spacing w:after="0" w:line="265"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2" w:lineRule="exact"/>
        <w:rPr>
          <w:rFonts w:ascii="Times New Roman" w:cs="Times New Roman" w:eastAsia="Times New Roman" w:hAnsi="Times New Roman"/>
          <w:sz w:val="14"/>
          <w:szCs w:val="14"/>
          <w:color w:val="auto"/>
        </w:rPr>
      </w:pPr>
    </w:p>
    <w:p>
      <w:pPr>
        <w:ind w:left="2140" w:right="399" w:hanging="343"/>
        <w:spacing w:after="0" w:line="265"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Times New Roman" w:cs="Times New Roman" w:eastAsia="Times New Roman" w:hAnsi="Times New Roman"/>
          <w:sz w:val="14"/>
          <w:szCs w:val="14"/>
          <w:color w:val="auto"/>
        </w:rPr>
      </w:pPr>
    </w:p>
    <w:p>
      <w:pPr>
        <w:ind w:left="2140" w:right="259" w:hanging="343"/>
        <w:spacing w:after="0" w:line="259"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8" w:lineRule="exact"/>
        <w:rPr>
          <w:rFonts w:ascii="Times New Roman" w:cs="Times New Roman" w:eastAsia="Times New Roman" w:hAnsi="Times New Roman"/>
          <w:sz w:val="14"/>
          <w:szCs w:val="14"/>
          <w:color w:val="auto"/>
        </w:rPr>
      </w:pPr>
    </w:p>
    <w:p>
      <w:pPr>
        <w:ind w:left="2140" w:right="47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4"/>
          <w:szCs w:val="14"/>
          <w:color w:val="auto"/>
        </w:rPr>
      </w:pPr>
    </w:p>
    <w:p>
      <w:pPr>
        <w:ind w:left="2140" w:right="105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3" w:lineRule="exact"/>
        <w:rPr>
          <w:rFonts w:ascii="Times New Roman" w:cs="Times New Roman" w:eastAsia="Times New Roman" w:hAnsi="Times New Roman"/>
          <w:sz w:val="14"/>
          <w:szCs w:val="14"/>
          <w:color w:val="auto"/>
        </w:rPr>
      </w:pPr>
    </w:p>
    <w:p>
      <w:pPr>
        <w:ind w:left="2140" w:right="49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100" w:lineRule="exact"/>
        <w:rPr>
          <w:rFonts w:ascii="Times New Roman" w:cs="Times New Roman" w:eastAsia="Times New Roman" w:hAnsi="Times New Roman"/>
          <w:sz w:val="14"/>
          <w:szCs w:val="14"/>
          <w:color w:val="auto"/>
        </w:rPr>
      </w:pPr>
    </w:p>
    <w:p>
      <w:pPr>
        <w:ind w:left="2140" w:right="35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w:t>
      </w:r>
    </w:p>
    <w:p>
      <w:pPr>
        <w:spacing w:after="0" w:line="100" w:lineRule="exact"/>
        <w:rPr>
          <w:rFonts w:ascii="Times New Roman" w:cs="Times New Roman" w:eastAsia="Times New Roman" w:hAnsi="Times New Roman"/>
          <w:sz w:val="14"/>
          <w:szCs w:val="14"/>
          <w:color w:val="auto"/>
        </w:rPr>
      </w:pPr>
    </w:p>
    <w:p>
      <w:pPr>
        <w:ind w:left="2140" w:right="319" w:hanging="343"/>
        <w:spacing w:after="0" w:line="280"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4"/>
          <w:szCs w:val="14"/>
          <w:color w:val="auto"/>
        </w:rPr>
      </w:pPr>
    </w:p>
    <w:p>
      <w:pPr>
        <w:ind w:left="2140" w:right="339" w:hanging="343"/>
        <w:spacing w:after="0" w:line="280"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00" w:lineRule="exact"/>
        <w:rPr>
          <w:rFonts w:ascii="Times New Roman" w:cs="Times New Roman" w:eastAsia="Times New Roman" w:hAnsi="Times New Roman"/>
          <w:sz w:val="14"/>
          <w:szCs w:val="14"/>
          <w:color w:val="auto"/>
        </w:rPr>
      </w:pPr>
    </w:p>
    <w:p>
      <w:pPr>
        <w:ind w:left="2140" w:right="459" w:hanging="343"/>
        <w:spacing w:after="0" w:line="280"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2" w:lineRule="exact"/>
        <w:rPr>
          <w:sz w:val="20"/>
          <w:szCs w:val="20"/>
          <w:color w:val="auto"/>
        </w:rPr>
      </w:pPr>
    </w:p>
    <w:p>
      <w:pPr>
        <w:ind w:left="1380" w:right="379" w:firstLine="341"/>
        <w:spacing w:after="0" w:line="259"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2" w:lineRule="exact"/>
        <w:rPr>
          <w:sz w:val="20"/>
          <w:szCs w:val="20"/>
          <w:color w:val="auto"/>
        </w:rPr>
      </w:pPr>
    </w:p>
    <w:p>
      <w:pPr>
        <w:ind w:left="1380" w:right="319" w:firstLine="341"/>
        <w:spacing w:after="0" w:line="259"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2" w:lineRule="exact"/>
        <w:rPr>
          <w:sz w:val="20"/>
          <w:szCs w:val="20"/>
          <w:color w:val="auto"/>
        </w:rPr>
      </w:pPr>
    </w:p>
    <w:p>
      <w:pPr>
        <w:ind w:left="1380" w:right="439" w:firstLine="341"/>
        <w:spacing w:after="0" w:line="280"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3" w:lineRule="exact"/>
        <w:rPr>
          <w:sz w:val="20"/>
          <w:szCs w:val="20"/>
          <w:color w:val="auto"/>
        </w:rPr>
      </w:pPr>
    </w:p>
    <w:p>
      <w:pPr>
        <w:jc w:val="both"/>
        <w:ind w:left="2140" w:right="319" w:hanging="343"/>
        <w:spacing w:after="0" w:line="265"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2" w:lineRule="exact"/>
        <w:rPr>
          <w:rFonts w:ascii="Times New Roman" w:cs="Times New Roman" w:eastAsia="Times New Roman" w:hAnsi="Times New Roman"/>
          <w:sz w:val="14"/>
          <w:szCs w:val="14"/>
          <w:color w:val="auto"/>
        </w:rPr>
      </w:pPr>
    </w:p>
    <w:p>
      <w:pPr>
        <w:ind w:left="2140" w:right="319" w:hanging="343"/>
        <w:spacing w:after="0" w:line="25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8" w:lineRule="exact"/>
        <w:rPr>
          <w:rFonts w:ascii="Times New Roman" w:cs="Times New Roman" w:eastAsia="Times New Roman" w:hAnsi="Times New Roman"/>
          <w:sz w:val="14"/>
          <w:szCs w:val="14"/>
          <w:color w:val="auto"/>
        </w:rPr>
      </w:pPr>
    </w:p>
    <w:p>
      <w:pPr>
        <w:ind w:left="2140" w:right="259" w:hanging="343"/>
        <w:spacing w:after="0" w:line="25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8"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5"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6"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9" w:lineRule="exact"/>
        <w:rPr>
          <w:sz w:val="20"/>
          <w:szCs w:val="20"/>
          <w:color w:val="auto"/>
        </w:rPr>
      </w:pPr>
    </w:p>
    <w:p>
      <w:pPr>
        <w:ind w:left="2140" w:hanging="34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00"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26" w:lineRule="exact"/>
        <w:rPr>
          <w:sz w:val="20"/>
          <w:szCs w:val="20"/>
          <w:color w:val="auto"/>
        </w:rPr>
      </w:pPr>
    </w:p>
    <w:p>
      <w:pPr>
        <w:ind w:left="1380" w:right="259" w:firstLine="341"/>
        <w:spacing w:after="0" w:line="280"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3" w:lineRule="exact"/>
        <w:rPr>
          <w:sz w:val="20"/>
          <w:szCs w:val="20"/>
          <w:color w:val="auto"/>
        </w:rPr>
      </w:pPr>
    </w:p>
    <w:p>
      <w:pPr>
        <w:ind w:left="2140" w:hanging="34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100" w:lineRule="exact"/>
        <w:rPr>
          <w:rFonts w:ascii="Times New Roman" w:cs="Times New Roman" w:eastAsia="Times New Roman" w:hAnsi="Times New Roman"/>
          <w:sz w:val="14"/>
          <w:szCs w:val="14"/>
          <w:color w:val="auto"/>
        </w:rPr>
      </w:pPr>
    </w:p>
    <w:p>
      <w:pPr>
        <w:ind w:left="2140" w:right="259" w:hanging="343"/>
        <w:spacing w:after="0" w:line="280" w:lineRule="auto"/>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4"/>
          <w:szCs w:val="14"/>
          <w:color w:val="auto"/>
        </w:rPr>
      </w:pPr>
    </w:p>
    <w:p>
      <w:pPr>
        <w:ind w:left="2140" w:right="619" w:hanging="343"/>
        <w:spacing w:after="0" w:line="280" w:lineRule="auto"/>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6" w:lineRule="exact"/>
        <w:rPr>
          <w:sz w:val="20"/>
          <w:szCs w:val="20"/>
          <w:color w:val="auto"/>
        </w:rPr>
      </w:pPr>
    </w:p>
    <w:p>
      <w:pPr>
        <w:ind w:left="1380" w:right="439" w:firstLine="341"/>
        <w:spacing w:after="0" w:line="280"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100" w:lineRule="exact"/>
        <w:rPr>
          <w:sz w:val="20"/>
          <w:szCs w:val="20"/>
          <w:color w:val="auto"/>
        </w:rPr>
      </w:pPr>
    </w:p>
    <w:p>
      <w:pPr>
        <w:ind w:left="2140" w:hanging="34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100" w:lineRule="exact"/>
        <w:rPr>
          <w:rFonts w:ascii="Times New Roman" w:cs="Times New Roman" w:eastAsia="Times New Roman" w:hAnsi="Times New Roman"/>
          <w:sz w:val="14"/>
          <w:szCs w:val="14"/>
          <w:color w:val="auto"/>
        </w:rPr>
      </w:pPr>
    </w:p>
    <w:p>
      <w:pPr>
        <w:ind w:left="5580" w:right="1359" w:hanging="3783"/>
        <w:spacing w:after="0" w:line="452" w:lineRule="auto"/>
        <w:tabs>
          <w:tab w:leader="none" w:pos="21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 21</w:t>
      </w:r>
    </w:p>
    <w:p>
      <w:pPr>
        <w:sectPr>
          <w:pgSz w:w="11900" w:h="16838" w:orient="portrait"/>
          <w:cols w:equalWidth="0" w:num="1">
            <w:col w:w="10159"/>
          </w:cols>
          <w:pgMar w:left="300" w:top="38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00" w:lineRule="exact"/>
        <w:rPr>
          <w:rFonts w:ascii="Times New Roman" w:cs="Times New Roman" w:eastAsia="Times New Roman" w:hAnsi="Times New Roman"/>
          <w:sz w:val="14"/>
          <w:szCs w:val="14"/>
          <w:color w:val="auto"/>
        </w:rPr>
      </w:pPr>
    </w:p>
    <w:p>
      <w:pPr>
        <w:ind w:left="2140" w:right="379" w:hanging="343"/>
        <w:spacing w:after="0" w:line="25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8" w:lineRule="exact"/>
        <w:rPr>
          <w:rFonts w:ascii="Times New Roman" w:cs="Times New Roman" w:eastAsia="Times New Roman" w:hAnsi="Times New Roman"/>
          <w:sz w:val="14"/>
          <w:szCs w:val="14"/>
          <w:color w:val="auto"/>
        </w:rPr>
      </w:pPr>
    </w:p>
    <w:p>
      <w:pPr>
        <w:ind w:left="2140" w:right="859" w:hanging="343"/>
        <w:spacing w:after="0" w:line="280"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100" w:lineRule="exact"/>
        <w:rPr>
          <w:rFonts w:ascii="Times New Roman" w:cs="Times New Roman" w:eastAsia="Times New Roman" w:hAnsi="Times New Roman"/>
          <w:sz w:val="14"/>
          <w:szCs w:val="14"/>
          <w:color w:val="auto"/>
        </w:rPr>
      </w:pPr>
    </w:p>
    <w:p>
      <w:pPr>
        <w:jc w:val="both"/>
        <w:ind w:left="2140" w:right="359" w:hanging="343"/>
        <w:spacing w:after="0" w:line="265"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2"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74" w:lineRule="exact"/>
        <w:rPr>
          <w:sz w:val="20"/>
          <w:szCs w:val="20"/>
          <w:color w:val="auto"/>
        </w:rPr>
      </w:pPr>
    </w:p>
    <w:p>
      <w:pPr>
        <w:ind w:left="1380" w:right="259" w:firstLine="341"/>
        <w:spacing w:after="0" w:line="259"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8" w:lineRule="exact"/>
        <w:rPr>
          <w:sz w:val="20"/>
          <w:szCs w:val="20"/>
          <w:color w:val="auto"/>
        </w:rPr>
      </w:pPr>
    </w:p>
    <w:p>
      <w:pPr>
        <w:ind w:left="2140" w:hanging="343"/>
        <w:spacing w:after="0"/>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100" w:lineRule="exact"/>
        <w:rPr>
          <w:rFonts w:ascii="Times New Roman" w:cs="Times New Roman" w:eastAsia="Times New Roman" w:hAnsi="Times New Roman"/>
          <w:sz w:val="14"/>
          <w:szCs w:val="14"/>
          <w:color w:val="auto"/>
        </w:rPr>
      </w:pPr>
    </w:p>
    <w:p>
      <w:pPr>
        <w:ind w:left="2140" w:right="439" w:hanging="343"/>
        <w:spacing w:after="0" w:line="280" w:lineRule="auto"/>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4"/>
          <w:szCs w:val="14"/>
          <w:color w:val="auto"/>
        </w:rPr>
      </w:pPr>
    </w:p>
    <w:p>
      <w:pPr>
        <w:ind w:left="2140" w:right="479" w:hanging="343"/>
        <w:spacing w:after="0" w:line="280" w:lineRule="auto"/>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76" w:lineRule="exact"/>
        <w:rPr>
          <w:sz w:val="20"/>
          <w:szCs w:val="20"/>
          <w:color w:val="auto"/>
        </w:rPr>
      </w:pPr>
    </w:p>
    <w:p>
      <w:pPr>
        <w:ind w:left="1380" w:right="459" w:firstLine="341"/>
        <w:spacing w:after="0" w:line="280"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53" w:lineRule="exact"/>
        <w:rPr>
          <w:sz w:val="20"/>
          <w:szCs w:val="20"/>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739" w:firstLine="341"/>
        <w:spacing w:after="0" w:line="280"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2" w:lineRule="exact"/>
        <w:rPr>
          <w:sz w:val="20"/>
          <w:szCs w:val="20"/>
          <w:color w:val="auto"/>
        </w:rPr>
      </w:pPr>
    </w:p>
    <w:p>
      <w:pPr>
        <w:ind w:left="1380" w:right="379" w:firstLine="341"/>
        <w:spacing w:after="0" w:line="255"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5"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6"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2" w:lineRule="exact"/>
        <w:rPr>
          <w:sz w:val="20"/>
          <w:szCs w:val="20"/>
          <w:color w:val="auto"/>
        </w:rPr>
      </w:pPr>
    </w:p>
    <w:p>
      <w:pPr>
        <w:ind w:left="1380" w:right="499" w:firstLine="341"/>
        <w:spacing w:after="0" w:line="259"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100" w:lineRule="exact"/>
        <w:rPr>
          <w:sz w:val="20"/>
          <w:szCs w:val="20"/>
          <w:color w:val="auto"/>
        </w:rPr>
      </w:pPr>
    </w:p>
    <w:p>
      <w:pPr>
        <w:jc w:val="both"/>
        <w:ind w:left="2140" w:right="459" w:hanging="343"/>
        <w:spacing w:after="0" w:line="265"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2" w:lineRule="exact"/>
        <w:rPr>
          <w:rFonts w:ascii="Times New Roman" w:cs="Times New Roman" w:eastAsia="Times New Roman" w:hAnsi="Times New Roman"/>
          <w:sz w:val="14"/>
          <w:szCs w:val="14"/>
          <w:color w:val="auto"/>
        </w:rPr>
      </w:pPr>
    </w:p>
    <w:p>
      <w:pPr>
        <w:ind w:left="2140" w:right="459" w:hanging="343"/>
        <w:spacing w:after="0" w:line="280"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2"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2" w:lineRule="exact"/>
        <w:rPr>
          <w:sz w:val="20"/>
          <w:szCs w:val="20"/>
          <w:color w:val="auto"/>
        </w:rPr>
      </w:pPr>
    </w:p>
    <w:p>
      <w:pPr>
        <w:jc w:val="both"/>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6"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5"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ind w:left="1380" w:right="379" w:firstLine="341"/>
        <w:spacing w:after="0" w:line="280"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of 1939 is applicable.</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Provisions Relating only to the Subordinated Debt Securities</w:t>
      </w:r>
    </w:p>
    <w:p>
      <w:pPr>
        <w:spacing w:after="0" w:line="92" w:lineRule="exact"/>
        <w:rPr>
          <w:sz w:val="20"/>
          <w:szCs w:val="20"/>
          <w:color w:val="auto"/>
        </w:rPr>
      </w:pPr>
    </w:p>
    <w:p>
      <w:pPr>
        <w:ind w:left="1380" w:right="319" w:firstLine="341"/>
        <w:spacing w:after="0" w:line="259" w:lineRule="auto"/>
        <w:rPr>
          <w:sz w:val="20"/>
          <w:szCs w:val="20"/>
          <w:color w:val="auto"/>
        </w:rPr>
      </w:pPr>
      <w:r>
        <w:rPr>
          <w:rFonts w:ascii="Times New Roman" w:cs="Times New Roman" w:eastAsia="Times New Roman" w:hAnsi="Times New Roman"/>
          <w:sz w:val="14"/>
          <w:szCs w:val="14"/>
          <w:color w:val="auto"/>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which we may incur, including senior indebtedness or subordinated indebtedness, and do not limit us from issuing any other debt, including secured debt or unsecured debt.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6"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in more detail in the applicable prospectus supplement and any applicable free writing prospectus.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45"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being offered, including:</w:t>
      </w:r>
    </w:p>
    <w:p>
      <w:pPr>
        <w:spacing w:after="0" w:line="100" w:lineRule="exact"/>
        <w:rPr>
          <w:sz w:val="20"/>
          <w:szCs w:val="20"/>
          <w:color w:val="auto"/>
        </w:rPr>
      </w:pPr>
    </w:p>
    <w:p>
      <w:pPr>
        <w:ind w:left="2140" w:hanging="34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securities;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or prices and aggregate number of warrants offered;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00" w:lineRule="exact"/>
        <w:rPr>
          <w:rFonts w:ascii="Times New Roman" w:cs="Times New Roman" w:eastAsia="Times New Roman" w:hAnsi="Times New Roman"/>
          <w:sz w:val="14"/>
          <w:szCs w:val="14"/>
          <w:color w:val="auto"/>
        </w:rPr>
      </w:pPr>
    </w:p>
    <w:p>
      <w:pPr>
        <w:ind w:left="2140" w:right="439" w:hanging="343"/>
        <w:spacing w:after="0" w:line="280"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00" w:lineRule="exact"/>
        <w:rPr>
          <w:rFonts w:ascii="Times New Roman" w:cs="Times New Roman" w:eastAsia="Times New Roman" w:hAnsi="Times New Roman"/>
          <w:sz w:val="14"/>
          <w:szCs w:val="14"/>
          <w:color w:val="auto"/>
        </w:rPr>
      </w:pPr>
    </w:p>
    <w:p>
      <w:pPr>
        <w:ind w:left="2140" w:right="259" w:hanging="343"/>
        <w:spacing w:after="0" w:line="280"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53" w:lineRule="exact"/>
        <w:rPr>
          <w:rFonts w:ascii="Times New Roman" w:cs="Times New Roman" w:eastAsia="Times New Roman" w:hAnsi="Times New Roman"/>
          <w:sz w:val="14"/>
          <w:szCs w:val="14"/>
          <w:color w:val="auto"/>
        </w:rPr>
      </w:pPr>
    </w:p>
    <w:p>
      <w:pPr>
        <w:ind w:left="2140" w:right="299" w:hanging="343"/>
        <w:spacing w:after="0" w:line="265"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259" w:hanging="343"/>
        <w:spacing w:after="0" w:line="280"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force the exercise of the warrants;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of holding or exercising the warrants;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74" w:lineRule="exact"/>
        <w:rPr>
          <w:sz w:val="20"/>
          <w:szCs w:val="20"/>
          <w:color w:val="auto"/>
        </w:rPr>
      </w:pPr>
    </w:p>
    <w:p>
      <w:pPr>
        <w:ind w:left="1380" w:right="459" w:firstLine="341"/>
        <w:spacing w:after="0" w:line="280" w:lineRule="auto"/>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53" w:lineRule="exact"/>
        <w:rPr>
          <w:sz w:val="20"/>
          <w:szCs w:val="20"/>
          <w:color w:val="auto"/>
        </w:rPr>
      </w:pPr>
    </w:p>
    <w:p>
      <w:pPr>
        <w:ind w:left="2140" w:right="319" w:hanging="343"/>
        <w:spacing w:after="0" w:line="280"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3" w:lineRule="exact"/>
        <w:rPr>
          <w:rFonts w:ascii="Times New Roman" w:cs="Times New Roman" w:eastAsia="Times New Roman" w:hAnsi="Times New Roman"/>
          <w:sz w:val="14"/>
          <w:szCs w:val="14"/>
          <w:color w:val="auto"/>
        </w:rPr>
      </w:pPr>
    </w:p>
    <w:p>
      <w:pPr>
        <w:ind w:left="2140" w:right="839" w:hanging="343"/>
        <w:spacing w:after="0" w:line="280"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right to receive dividends, if any, or, payments upon our liquidation, dissolution or winding up or to exercise voting rights, if any.</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92"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42"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42"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Upon receipt of payment and the warrant or warrant certificate, as applicable, properly completed and duly executed at the corporate trust office of the warrant agent, if any, or any other office, including ours, indicated in the applicable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 If we so indicate in the applicable prospectus supplement, holders of the warrants may surrender securities as all or part of the exercise price for warrants.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jc w:val="both"/>
        <w:ind w:left="1380" w:right="499" w:firstLine="341"/>
        <w:spacing w:after="0" w:line="265"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the warrants and any warrant agreements and any claim, controversy or dispute arising under or related to the warrants or warrant agreements, will be governed by and construed in accordance with the laws of the State of New York.</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92"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6" w:lineRule="exact"/>
        <w:rPr>
          <w:sz w:val="20"/>
          <w:szCs w:val="20"/>
          <w:color w:val="auto"/>
        </w:rPr>
      </w:pPr>
    </w:p>
    <w:p>
      <w:pPr>
        <w:jc w:val="both"/>
        <w:ind w:left="1380" w:right="539" w:firstLine="341"/>
        <w:spacing w:after="0" w:line="259"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41"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included in any applicable prospectus supplement, summarizes the general features of the units that we may offer under this prospectus. While the terms summarized below will apply generally to any units we may offer, we will describe the particular terms of any series of units in more detail in the applicable prospectus supplement.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46"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36" w:lineRule="exact"/>
        <w:rPr>
          <w:sz w:val="20"/>
          <w:szCs w:val="20"/>
          <w:color w:val="auto"/>
        </w:rPr>
      </w:pPr>
    </w:p>
    <w:p>
      <w:pPr>
        <w:ind w:left="1380" w:right="359" w:firstLine="341"/>
        <w:spacing w:after="0" w:line="280" w:lineRule="auto"/>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53" w:lineRule="exact"/>
        <w:rPr>
          <w:sz w:val="20"/>
          <w:szCs w:val="20"/>
          <w:color w:val="auto"/>
        </w:rPr>
      </w:pPr>
    </w:p>
    <w:p>
      <w:pPr>
        <w:ind w:left="2140" w:right="379" w:hanging="343"/>
        <w:spacing w:after="0" w:line="280" w:lineRule="auto"/>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the terms of the units and of the securities constituting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4"/>
          <w:szCs w:val="14"/>
          <w:color w:val="auto"/>
        </w:rPr>
      </w:pPr>
    </w:p>
    <w:p>
      <w:pPr>
        <w:ind w:left="2140" w:right="779" w:hanging="343"/>
        <w:spacing w:after="0" w:line="280" w:lineRule="auto"/>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any unit agent for the units, if applicable, and of any other depositaries, execution or paying agents, transfer agents, registrars or other agents;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governing unit agreement, if applicable;</w:t>
      </w:r>
    </w:p>
    <w:p>
      <w:pPr>
        <w:spacing w:after="0" w:line="100" w:lineRule="exact"/>
        <w:rPr>
          <w:rFonts w:ascii="Times New Roman" w:cs="Times New Roman" w:eastAsia="Times New Roman" w:hAnsi="Times New Roman"/>
          <w:sz w:val="14"/>
          <w:szCs w:val="14"/>
          <w:color w:val="auto"/>
        </w:rPr>
      </w:pPr>
    </w:p>
    <w:p>
      <w:pPr>
        <w:ind w:left="2140" w:right="379" w:hanging="343"/>
        <w:spacing w:after="0" w:line="280" w:lineRule="auto"/>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provisions for the issuance, payment, settlement, transfer or exchange of the units or of the debt securities, common stock, preferred stock or warrants constituting the unit; and</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U.S. federal income tax considerations.</w:t>
      </w:r>
    </w:p>
    <w:p>
      <w:pPr>
        <w:spacing w:after="0" w:line="174" w:lineRule="exact"/>
        <w:rPr>
          <w:sz w:val="20"/>
          <w:szCs w:val="20"/>
          <w:color w:val="auto"/>
        </w:rPr>
      </w:pPr>
    </w:p>
    <w:p>
      <w:pPr>
        <w:ind w:left="1380" w:right="299" w:firstLine="341"/>
        <w:spacing w:after="0" w:line="321" w:lineRule="auto"/>
        <w:rPr>
          <w:sz w:val="20"/>
          <w:szCs w:val="20"/>
          <w:color w:val="auto"/>
        </w:rPr>
      </w:pPr>
      <w:r>
        <w:rPr>
          <w:rFonts w:ascii="Times New Roman" w:cs="Times New Roman" w:eastAsia="Times New Roman" w:hAnsi="Times New Roman"/>
          <w:sz w:val="13"/>
          <w:szCs w:val="13"/>
          <w:color w:val="auto"/>
        </w:rPr>
        <w:t>The provisions described in this section, as well as those described under “Description of Capital Stock,” “Description of Debt Securities” and “Description of Warrants” will apply to each unit and to any common stock, preferred stock, debt security or warrant included in each unit, respectively.</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76" w:lineRule="exact"/>
        <w:rPr>
          <w:sz w:val="20"/>
          <w:szCs w:val="20"/>
          <w:color w:val="auto"/>
        </w:rPr>
      </w:pPr>
    </w:p>
    <w:p>
      <w:pPr>
        <w:ind w:left="1380" w:right="279" w:firstLine="341"/>
        <w:spacing w:after="0" w:line="281" w:lineRule="auto"/>
        <w:rPr>
          <w:sz w:val="20"/>
          <w:szCs w:val="20"/>
          <w:color w:val="auto"/>
        </w:rPr>
      </w:pPr>
      <w:r>
        <w:rPr>
          <w:rFonts w:ascii="Times New Roman" w:cs="Times New Roman" w:eastAsia="Times New Roman" w:hAnsi="Times New Roman"/>
          <w:sz w:val="13"/>
          <w:szCs w:val="13"/>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or unit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92" w:lineRule="exact"/>
        <w:rPr>
          <w:sz w:val="20"/>
          <w:szCs w:val="20"/>
          <w:color w:val="auto"/>
        </w:rPr>
      </w:pPr>
    </w:p>
    <w:p>
      <w:pPr>
        <w:ind w:left="1380" w:right="459" w:firstLine="341"/>
        <w:spacing w:after="0" w:line="259"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1"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2"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92" w:lineRule="exact"/>
        <w:rPr>
          <w:sz w:val="20"/>
          <w:szCs w:val="20"/>
          <w:color w:val="auto"/>
        </w:rPr>
      </w:pPr>
    </w:p>
    <w:p>
      <w:pPr>
        <w:ind w:left="1380" w:right="379" w:firstLine="341"/>
        <w:spacing w:after="0" w:line="259" w:lineRule="auto"/>
        <w:rPr>
          <w:sz w:val="20"/>
          <w:szCs w:val="20"/>
          <w:color w:val="auto"/>
        </w:rPr>
      </w:pPr>
      <w:r>
        <w:rPr>
          <w:rFonts w:ascii="Times New Roman" w:cs="Times New Roman" w:eastAsia="Times New Roman" w:hAnsi="Times New Roman"/>
          <w:sz w:val="14"/>
          <w:szCs w:val="14"/>
          <w:color w:val="auto"/>
        </w:rPr>
        <w:t>We may terminate a global security or issue securities in non-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1"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92" w:lineRule="exact"/>
        <w:rPr>
          <w:sz w:val="20"/>
          <w:szCs w:val="20"/>
          <w:color w:val="auto"/>
        </w:rPr>
      </w:pPr>
    </w:p>
    <w:p>
      <w:pPr>
        <w:ind w:left="1380" w:right="259" w:firstLine="341"/>
        <w:spacing w:after="0" w:line="259"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legal holder, we have no further responsibility for the payment or notice even if that legal holder is required, under agreements with depositary participants or customers or by law, to pass it along to the indirect holders but does not do so. Similarly, we may want to obtain the approval of the legal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legal holders is up to the legal holders.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92" w:lineRule="exact"/>
        <w:rPr>
          <w:sz w:val="20"/>
          <w:szCs w:val="20"/>
          <w:color w:val="auto"/>
        </w:rPr>
      </w:pPr>
    </w:p>
    <w:p>
      <w:pPr>
        <w:ind w:left="1380" w:right="339" w:firstLine="341"/>
        <w:spacing w:after="0" w:line="280"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53" w:lineRule="exact"/>
        <w:rPr>
          <w:sz w:val="20"/>
          <w:szCs w:val="20"/>
          <w:color w:val="auto"/>
        </w:rPr>
      </w:pPr>
    </w:p>
    <w:p>
      <w:pPr>
        <w:ind w:left="2140" w:hanging="34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100" w:lineRule="exact"/>
        <w:rPr>
          <w:rFonts w:ascii="Times New Roman" w:cs="Times New Roman" w:eastAsia="Times New Roman" w:hAnsi="Times New Roman"/>
          <w:sz w:val="14"/>
          <w:szCs w:val="14"/>
          <w:color w:val="auto"/>
        </w:rPr>
      </w:pPr>
    </w:p>
    <w:p>
      <w:pPr>
        <w:ind w:left="2140" w:right="439" w:hanging="343"/>
        <w:spacing w:after="0" w:line="280"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4"/>
          <w:szCs w:val="14"/>
          <w:color w:val="auto"/>
        </w:rPr>
      </w:pPr>
    </w:p>
    <w:p>
      <w:pPr>
        <w:ind w:left="2140" w:right="339" w:hanging="343"/>
        <w:spacing w:after="0" w:line="280"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2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2" w:lineRule="exact"/>
        <w:rPr>
          <w:sz w:val="20"/>
          <w:szCs w:val="20"/>
          <w:color w:val="auto"/>
        </w:rPr>
      </w:pPr>
    </w:p>
    <w:p>
      <w:pPr>
        <w:ind w:left="1380" w:right="679" w:firstLine="341"/>
        <w:spacing w:after="0" w:line="280"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26"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36"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46" w:lineRule="exact"/>
        <w:rPr>
          <w:sz w:val="20"/>
          <w:szCs w:val="20"/>
          <w:color w:val="auto"/>
        </w:rPr>
      </w:pPr>
    </w:p>
    <w:p>
      <w:pPr>
        <w:ind w:left="1380" w:right="339" w:firstLine="341"/>
        <w:spacing w:after="0" w:line="256"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decide that the securities may no longer be held through any book-entry clearing system.</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92" w:lineRule="exact"/>
        <w:rPr>
          <w:sz w:val="20"/>
          <w:szCs w:val="20"/>
          <w:color w:val="auto"/>
        </w:rPr>
      </w:pPr>
    </w:p>
    <w:p>
      <w:pPr>
        <w:jc w:val="both"/>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If securities are issued only in the form of a global security, an investor should be aware of the following:</w:t>
      </w:r>
    </w:p>
    <w:p>
      <w:pPr>
        <w:spacing w:after="0" w:line="100" w:lineRule="exact"/>
        <w:rPr>
          <w:sz w:val="20"/>
          <w:szCs w:val="20"/>
          <w:color w:val="auto"/>
        </w:rPr>
      </w:pPr>
    </w:p>
    <w:p>
      <w:pPr>
        <w:ind w:left="2140" w:right="27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4"/>
          <w:szCs w:val="14"/>
          <w:color w:val="auto"/>
        </w:rPr>
      </w:pPr>
    </w:p>
    <w:p>
      <w:pPr>
        <w:ind w:left="2140" w:right="31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53" w:lineRule="exact"/>
        <w:rPr>
          <w:rFonts w:ascii="Times New Roman" w:cs="Times New Roman" w:eastAsia="Times New Roman" w:hAnsi="Times New Roman"/>
          <w:sz w:val="14"/>
          <w:szCs w:val="14"/>
          <w:color w:val="auto"/>
        </w:rPr>
      </w:pPr>
    </w:p>
    <w:p>
      <w:pPr>
        <w:ind w:left="2140" w:right="35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3" w:lineRule="exact"/>
        <w:rPr>
          <w:rFonts w:ascii="Times New Roman" w:cs="Times New Roman" w:eastAsia="Times New Roman" w:hAnsi="Times New Roman"/>
          <w:sz w:val="14"/>
          <w:szCs w:val="14"/>
          <w:color w:val="auto"/>
        </w:rPr>
      </w:pPr>
    </w:p>
    <w:p>
      <w:pPr>
        <w:ind w:left="2140" w:right="29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w:t>
      </w:r>
    </w:p>
    <w:p>
      <w:pPr>
        <w:spacing w:after="0" w:line="53" w:lineRule="exact"/>
        <w:rPr>
          <w:rFonts w:ascii="Times New Roman" w:cs="Times New Roman" w:eastAsia="Times New Roman" w:hAnsi="Times New Roman"/>
          <w:sz w:val="14"/>
          <w:szCs w:val="14"/>
          <w:color w:val="auto"/>
        </w:rPr>
      </w:pPr>
    </w:p>
    <w:p>
      <w:pPr>
        <w:ind w:left="2140" w:right="33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3" w:lineRule="exact"/>
        <w:rPr>
          <w:rFonts w:ascii="Times New Roman" w:cs="Times New Roman" w:eastAsia="Times New Roman" w:hAnsi="Times New Roman"/>
          <w:sz w:val="14"/>
          <w:szCs w:val="14"/>
          <w:color w:val="auto"/>
        </w:rPr>
      </w:pPr>
    </w:p>
    <w:p>
      <w:pPr>
        <w:ind w:left="2140" w:right="59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3" w:lineRule="exact"/>
        <w:rPr>
          <w:rFonts w:ascii="Times New Roman" w:cs="Times New Roman" w:eastAsia="Times New Roman" w:hAnsi="Times New Roman"/>
          <w:sz w:val="14"/>
          <w:szCs w:val="14"/>
          <w:color w:val="auto"/>
        </w:rPr>
      </w:pPr>
    </w:p>
    <w:p>
      <w:pPr>
        <w:ind w:left="2140" w:right="55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53" w:lineRule="exact"/>
        <w:rPr>
          <w:rFonts w:ascii="Times New Roman" w:cs="Times New Roman" w:eastAsia="Times New Roman" w:hAnsi="Times New Roman"/>
          <w:sz w:val="14"/>
          <w:szCs w:val="14"/>
          <w:color w:val="auto"/>
        </w:rPr>
      </w:pPr>
    </w:p>
    <w:p>
      <w:pPr>
        <w:ind w:left="2140" w:right="439" w:hanging="343"/>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92" w:lineRule="exact"/>
        <w:rPr>
          <w:sz w:val="20"/>
          <w:szCs w:val="20"/>
          <w:color w:val="auto"/>
        </w:rPr>
      </w:pPr>
    </w:p>
    <w:p>
      <w:pPr>
        <w:ind w:left="1380" w:right="319" w:firstLine="341"/>
        <w:spacing w:after="0" w:line="259" w:lineRule="auto"/>
        <w:rPr>
          <w:sz w:val="20"/>
          <w:szCs w:val="20"/>
          <w:color w:val="auto"/>
        </w:rPr>
      </w:pPr>
      <w:r>
        <w:rPr>
          <w:rFonts w:ascii="Times New Roman" w:cs="Times New Roman" w:eastAsia="Times New Roman" w:hAnsi="Times New Roman"/>
          <w:sz w:val="14"/>
          <w:szCs w:val="14"/>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brokers or other financial institutions to find out how to have their interests in securities transferred to their own name, so that they will be direct holders. We have described the rights of holders and street name investors above.</w:t>
      </w:r>
    </w:p>
    <w:p>
      <w:pPr>
        <w:spacing w:after="0" w:line="141" w:lineRule="exact"/>
        <w:rPr>
          <w:sz w:val="20"/>
          <w:szCs w:val="20"/>
          <w:color w:val="auto"/>
        </w:rPr>
      </w:pPr>
    </w:p>
    <w:p>
      <w:pPr>
        <w:ind w:left="1380" w:right="539" w:firstLine="341"/>
        <w:spacing w:after="0" w:line="280"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global security will terminate when the following special situations occur:</w:t>
      </w:r>
    </w:p>
    <w:p>
      <w:pPr>
        <w:spacing w:after="0" w:line="53" w:lineRule="exact"/>
        <w:rPr>
          <w:sz w:val="20"/>
          <w:szCs w:val="20"/>
          <w:color w:val="auto"/>
        </w:rPr>
      </w:pPr>
    </w:p>
    <w:p>
      <w:pPr>
        <w:ind w:left="2140" w:right="439" w:hanging="343"/>
        <w:spacing w:after="0" w:line="280"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00" w:lineRule="exact"/>
        <w:rPr>
          <w:rFonts w:ascii="Times New Roman" w:cs="Times New Roman" w:eastAsia="Times New Roman" w:hAnsi="Times New Roman"/>
          <w:sz w:val="14"/>
          <w:szCs w:val="14"/>
          <w:color w:val="auto"/>
        </w:rPr>
      </w:pPr>
    </w:p>
    <w:p>
      <w:pPr>
        <w:ind w:left="2140" w:right="359" w:hanging="343"/>
        <w:spacing w:after="0" w:line="265" w:lineRule="auto"/>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76"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the applicable prospectus supplement, in a post-effective amendment or in other filings we make with the SEC under the Exchange Act that are incorporated by reference.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6"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We or selling securityholders may sell the securities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or selling securityholders may sell the securities to or through underwriters or dealers, through agents, or directly to one or more purchasers or through a combination of any of these methods of sale. We or selling securityholders may distribute securities from time to time in one or more transactions:</w:t>
      </w:r>
    </w:p>
    <w:p>
      <w:pPr>
        <w:spacing w:after="0" w:line="69" w:lineRule="exact"/>
        <w:rPr>
          <w:sz w:val="20"/>
          <w:szCs w:val="20"/>
          <w:color w:val="auto"/>
        </w:rPr>
      </w:pPr>
    </w:p>
    <w:p>
      <w:pPr>
        <w:ind w:left="2140" w:hanging="343"/>
        <w:spacing w:after="0"/>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Securities Act. Such offering may be made into an existing trading market for such securities in transactions at other than a fixed price, either:</w:t>
      </w:r>
    </w:p>
    <w:p>
      <w:pPr>
        <w:spacing w:after="0" w:line="85" w:lineRule="exact"/>
        <w:rPr>
          <w:sz w:val="20"/>
          <w:szCs w:val="20"/>
          <w:color w:val="auto"/>
        </w:rPr>
      </w:pPr>
    </w:p>
    <w:p>
      <w:pPr>
        <w:ind w:left="2140" w:right="419" w:hanging="343"/>
        <w:spacing w:after="0" w:line="280"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Select Market or any other securities exchange or quotation or trading service on which such securities may be listed, quoted or traded at the time of sale; and/or</w:t>
      </w:r>
    </w:p>
    <w:p>
      <w:pPr>
        <w:spacing w:after="0" w:line="53" w:lineRule="exact"/>
        <w:rPr>
          <w:rFonts w:ascii="Times New Roman" w:cs="Times New Roman" w:eastAsia="Times New Roman" w:hAnsi="Times New Roman"/>
          <w:sz w:val="14"/>
          <w:szCs w:val="14"/>
          <w:color w:val="auto"/>
        </w:rPr>
      </w:pPr>
    </w:p>
    <w:p>
      <w:pPr>
        <w:ind w:left="2140" w:right="519" w:hanging="343"/>
        <w:spacing w:after="0" w:line="280"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 than on the Nasdaq Global Select Market or such other securities exchanges or quotation or trading services.</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Such at-the-market offerings, if any, may be conducted by underwriters acting as principal or agent.</w:t>
      </w:r>
    </w:p>
    <w:p>
      <w:pPr>
        <w:spacing w:after="0" w:line="174" w:lineRule="exact"/>
        <w:rPr>
          <w:sz w:val="20"/>
          <w:szCs w:val="20"/>
          <w:color w:val="auto"/>
        </w:rPr>
      </w:pPr>
    </w:p>
    <w:p>
      <w:pPr>
        <w:ind w:left="1380" w:right="399" w:firstLine="341"/>
        <w:spacing w:after="0" w:line="280"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53" w:lineRule="exact"/>
        <w:rPr>
          <w:sz w:val="20"/>
          <w:szCs w:val="20"/>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the underwriters, dealers or agents, if any;</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the selling securityholders, if any;</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or other consideration therefor, and the proceeds, if any, we will receive from the sale;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 from us or any selling securityholders;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Only underwriters named in the prospectus supplement will be underwriters of the securities offered by the prospectus supplement.</w:t>
      </w:r>
    </w:p>
    <w:p>
      <w:pPr>
        <w:spacing w:after="0" w:line="174" w:lineRule="exact"/>
        <w:rPr>
          <w:sz w:val="20"/>
          <w:szCs w:val="20"/>
          <w:color w:val="auto"/>
        </w:rPr>
      </w:pPr>
    </w:p>
    <w:p>
      <w:pPr>
        <w:jc w:val="both"/>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339"/>
        <w:spacing w:after="0" w:line="255" w:lineRule="auto"/>
        <w:rPr>
          <w:sz w:val="20"/>
          <w:szCs w:val="20"/>
          <w:color w:val="auto"/>
        </w:rPr>
      </w:pPr>
      <w:r>
        <w:rPr>
          <w:rFonts w:ascii="Times New Roman" w:cs="Times New Roman" w:eastAsia="Times New Roman" w:hAnsi="Times New Roman"/>
          <w:sz w:val="14"/>
          <w:szCs w:val="14"/>
          <w:color w:val="auto"/>
        </w:rPr>
        <w:t>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selling securityholders may use underwriters with whom we have a material relationship. We will describe in the prospectus supplement, naming the underwriter, the nature of any such relationship.</w:t>
      </w:r>
    </w:p>
    <w:p>
      <w:pPr>
        <w:spacing w:after="0" w:line="145"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We or selling securityholders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36" w:lineRule="exact"/>
        <w:rPr>
          <w:sz w:val="20"/>
          <w:szCs w:val="20"/>
          <w:color w:val="auto"/>
        </w:rPr>
      </w:pPr>
    </w:p>
    <w:p>
      <w:pPr>
        <w:ind w:left="1380" w:right="279" w:firstLine="341"/>
        <w:spacing w:after="0" w:line="259"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1" w:lineRule="exact"/>
        <w:rPr>
          <w:sz w:val="20"/>
          <w:szCs w:val="20"/>
          <w:color w:val="auto"/>
        </w:rPr>
      </w:pPr>
    </w:p>
    <w:p>
      <w:pPr>
        <w:ind w:left="1380" w:right="719" w:firstLine="341"/>
        <w:spacing w:after="0" w:line="265"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36" w:lineRule="exact"/>
        <w:rPr>
          <w:sz w:val="20"/>
          <w:szCs w:val="20"/>
          <w:color w:val="auto"/>
        </w:rPr>
      </w:pPr>
    </w:p>
    <w:p>
      <w:pPr>
        <w:ind w:left="1380" w:right="319" w:firstLine="341"/>
        <w:spacing w:after="0" w:line="280" w:lineRule="auto"/>
        <w:rPr>
          <w:sz w:val="20"/>
          <w:szCs w:val="20"/>
          <w:color w:val="auto"/>
        </w:rPr>
      </w:pPr>
      <w:r>
        <w:rPr>
          <w:rFonts w:ascii="Times New Roman" w:cs="Times New Roman" w:eastAsia="Times New Roman" w:hAnsi="Times New Roman"/>
          <w:sz w:val="14"/>
          <w:szCs w:val="14"/>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26"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Global Select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45"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48" w:lineRule="exact"/>
        <w:rPr>
          <w:sz w:val="20"/>
          <w:szCs w:val="20"/>
          <w:color w:val="auto"/>
        </w:rPr>
      </w:pPr>
    </w:p>
    <w:p>
      <w:pPr>
        <w:ind w:left="1380" w:right="439" w:firstLine="341"/>
        <w:spacing w:after="0" w:line="265" w:lineRule="auto"/>
        <w:rPr>
          <w:sz w:val="20"/>
          <w:szCs w:val="20"/>
          <w:color w:val="auto"/>
        </w:rPr>
      </w:pPr>
      <w:r>
        <w:rPr>
          <w:rFonts w:ascii="Times New Roman" w:cs="Times New Roman" w:eastAsia="Times New Roman" w:hAnsi="Times New Roman"/>
          <w:sz w:val="14"/>
          <w:szCs w:val="14"/>
          <w:color w:val="auto"/>
        </w:rPr>
        <w:t>Any underwriters or agents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57" w:lineRule="auto"/>
        <w:rPr>
          <w:sz w:val="20"/>
          <w:szCs w:val="20"/>
          <w:color w:val="auto"/>
        </w:rPr>
      </w:pPr>
      <w:r>
        <w:rPr>
          <w:rFonts w:ascii="Times New Roman" w:cs="Times New Roman" w:eastAsia="Times New Roman" w:hAnsi="Times New Roman"/>
          <w:sz w:val="14"/>
          <w:szCs w:val="14"/>
          <w:color w:val="auto"/>
        </w:rPr>
        <w:t>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42" w:lineRule="exact"/>
        <w:rPr>
          <w:sz w:val="20"/>
          <w:szCs w:val="20"/>
          <w:color w:val="auto"/>
        </w:rPr>
      </w:pPr>
    </w:p>
    <w:p>
      <w:pPr>
        <w:jc w:val="both"/>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jc w:val="both"/>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Cooley LLP will pass upon certain legal matters in connection with this offering and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jc w:val="both"/>
        <w:ind w:left="1380" w:right="279" w:firstLine="341"/>
        <w:spacing w:after="0" w:line="294" w:lineRule="auto"/>
        <w:rPr>
          <w:sz w:val="20"/>
          <w:szCs w:val="20"/>
          <w:color w:val="auto"/>
        </w:rPr>
      </w:pPr>
      <w:r>
        <w:rPr>
          <w:rFonts w:ascii="Times New Roman" w:cs="Times New Roman" w:eastAsia="Times New Roman" w:hAnsi="Times New Roman"/>
          <w:sz w:val="13"/>
          <w:szCs w:val="13"/>
          <w:color w:val="auto"/>
        </w:rPr>
        <w:t>The consolidated financial statements of Annexon,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ind w:left="1380" w:right="299" w:firstLine="341"/>
        <w:spacing w:after="0" w:line="274" w:lineRule="auto"/>
        <w:rPr>
          <w:sz w:val="20"/>
          <w:szCs w:val="20"/>
          <w:color w:val="auto"/>
        </w:rPr>
      </w:pPr>
      <w:r>
        <w:rPr>
          <w:rFonts w:ascii="Times New Roman" w:cs="Times New Roman" w:eastAsia="Times New Roman" w:hAnsi="Times New Roman"/>
          <w:sz w:val="13"/>
          <w:szCs w:val="13"/>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3"/>
          <w:szCs w:val="13"/>
          <w:u w:val="single" w:color="auto"/>
          <w:color w:val="auto"/>
        </w:rPr>
        <w:t>http://www.sec.gov</w:t>
      </w:r>
      <w:r>
        <w:rPr>
          <w:rFonts w:ascii="Times New Roman" w:cs="Times New Roman" w:eastAsia="Times New Roman" w:hAnsi="Times New Roman"/>
          <w:sz w:val="13"/>
          <w:szCs w:val="13"/>
          <w:color w:val="auto"/>
        </w:rPr>
        <w:t>. We maintain a website at www.annexonbio.com. The information contained in, or that can be accessed through, our website is not part of this prospectus.</w:t>
      </w:r>
    </w:p>
    <w:p>
      <w:pPr>
        <w:spacing w:after="0" w:line="2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6" w:lineRule="exact"/>
        <w:rPr>
          <w:sz w:val="20"/>
          <w:szCs w:val="20"/>
          <w:color w:val="auto"/>
        </w:rPr>
      </w:pPr>
    </w:p>
    <w:p>
      <w:pPr>
        <w:ind w:left="1380" w:right="279" w:firstLine="341"/>
        <w:spacing w:after="0" w:line="272" w:lineRule="auto"/>
        <w:rPr>
          <w:sz w:val="20"/>
          <w:szCs w:val="20"/>
          <w:color w:val="auto"/>
        </w:rPr>
      </w:pPr>
      <w:r>
        <w:rPr>
          <w:rFonts w:ascii="Times New Roman" w:cs="Times New Roman" w:eastAsia="Times New Roman" w:hAnsi="Times New Roman"/>
          <w:sz w:val="13"/>
          <w:szCs w:val="13"/>
          <w:color w:val="auto"/>
        </w:rPr>
        <w:t>The SEC allows us to incorporate by reference information into this prospectus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and any future filings made by us with the SEC (other than Current Reports or portions thereof furnished under Item 2.02 or Item</w:t>
      </w:r>
    </w:p>
    <w:p>
      <w:pPr>
        <w:spacing w:after="0" w:line="2" w:lineRule="exact"/>
        <w:rPr>
          <w:sz w:val="20"/>
          <w:szCs w:val="20"/>
          <w:color w:val="auto"/>
        </w:rPr>
      </w:pPr>
    </w:p>
    <w:p>
      <w:pPr>
        <w:ind w:left="1380" w:right="359"/>
        <w:spacing w:after="0" w:line="278" w:lineRule="auto"/>
        <w:rPr>
          <w:sz w:val="20"/>
          <w:szCs w:val="20"/>
          <w:color w:val="auto"/>
        </w:rPr>
      </w:pPr>
      <w:r>
        <w:rPr>
          <w:rFonts w:ascii="Times New Roman" w:cs="Times New Roman" w:eastAsia="Times New Roman" w:hAnsi="Times New Roman"/>
          <w:sz w:val="13"/>
          <w:szCs w:val="13"/>
          <w:color w:val="auto"/>
        </w:rPr>
        <w:t>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(ii) after the effectiveness of the registration statement but prior to the termination of all offerings of securities covered by this prospectus:</w:t>
      </w:r>
    </w:p>
    <w:p>
      <w:pPr>
        <w:spacing w:after="0" w:line="56" w:lineRule="exact"/>
        <w:rPr>
          <w:sz w:val="20"/>
          <w:szCs w:val="20"/>
          <w:color w:val="auto"/>
        </w:rPr>
      </w:pPr>
    </w:p>
    <w:p>
      <w:pPr>
        <w:ind w:left="5580" w:right="1739" w:hanging="3783"/>
        <w:spacing w:after="0" w:line="452" w:lineRule="auto"/>
        <w:tabs>
          <w:tab w:leader="none" w:pos="213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7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30, 2025; 37</w:t>
      </w:r>
    </w:p>
    <w:p>
      <w:pPr>
        <w:sectPr>
          <w:pgSz w:w="11900" w:h="16838" w:orient="portrait"/>
          <w:cols w:equalWidth="0" w:num="1">
            <w:col w:w="10159"/>
          </w:cols>
          <w:pgMar w:left="300" w:top="38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519" w:hanging="343"/>
        <w:spacing w:after="0" w:line="280"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72">
        <w:r>
          <w:rPr>
            <w:rFonts w:ascii="Times New Roman" w:cs="Times New Roman" w:eastAsia="Times New Roman" w:hAnsi="Times New Roman"/>
            <w:sz w:val="14"/>
            <w:szCs w:val="14"/>
            <w:u w:val="single" w:color="auto"/>
            <w:color w:val="0000EE"/>
          </w:rPr>
          <w:t>January 12,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3">
        <w:r>
          <w:rPr>
            <w:rFonts w:ascii="Times New Roman" w:cs="Times New Roman" w:eastAsia="Times New Roman" w:hAnsi="Times New Roman"/>
            <w:sz w:val="14"/>
            <w:szCs w:val="14"/>
            <w:u w:val="single" w:color="auto"/>
            <w:color w:val="0000EE"/>
          </w:rPr>
          <w:t>February 17,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(each to the extent the information in such reports is filed and not furnished); and</w:t>
      </w:r>
    </w:p>
    <w:p>
      <w:pPr>
        <w:spacing w:after="0" w:line="53" w:lineRule="exact"/>
        <w:rPr>
          <w:rFonts w:ascii="Times New Roman" w:cs="Times New Roman" w:eastAsia="Times New Roman" w:hAnsi="Times New Roman"/>
          <w:sz w:val="14"/>
          <w:szCs w:val="14"/>
          <w:color w:val="auto"/>
        </w:rPr>
      </w:pPr>
    </w:p>
    <w:p>
      <w:pPr>
        <w:jc w:val="both"/>
        <w:ind w:left="2140" w:right="339" w:hanging="343"/>
        <w:spacing w:after="0" w:line="265"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7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dated July 21, 2020, including all amendments and reports filed for the purpose of updating such description, including the description of our common stock in </w:t>
      </w:r>
      <w:hyperlink r:id="rId75">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filed with the SEC on March 30, 2026.</w:t>
      </w:r>
    </w:p>
    <w:p>
      <w:pPr>
        <w:spacing w:after="0" w:line="136" w:lineRule="exact"/>
        <w:rPr>
          <w:rFonts w:ascii="Times New Roman" w:cs="Times New Roman" w:eastAsia="Times New Roman" w:hAnsi="Times New Roman"/>
          <w:sz w:val="14"/>
          <w:szCs w:val="14"/>
          <w:color w:val="auto"/>
        </w:rPr>
      </w:pPr>
    </w:p>
    <w:p>
      <w:pPr>
        <w:jc w:val="both"/>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36" w:lineRule="exact"/>
        <w:rPr>
          <w:rFonts w:ascii="Times New Roman" w:cs="Times New Roman" w:eastAsia="Times New Roman" w:hAnsi="Times New Roman"/>
          <w:sz w:val="14"/>
          <w:szCs w:val="14"/>
          <w:color w:val="auto"/>
        </w:rPr>
      </w:pPr>
    </w:p>
    <w:p>
      <w:pPr>
        <w:ind w:left="1380" w:right="359" w:firstLine="341"/>
        <w:spacing w:after="0" w:line="259" w:lineRule="auto"/>
        <w:rPr>
          <w:sz w:val="20"/>
          <w:szCs w:val="20"/>
          <w:color w:val="auto"/>
        </w:rPr>
      </w:pPr>
      <w:r>
        <w:rPr>
          <w:rFonts w:ascii="Times New Roman" w:cs="Times New Roman" w:eastAsia="Times New Roman" w:hAnsi="Times New Roman"/>
          <w:sz w:val="14"/>
          <w:szCs w:val="14"/>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Any such request may be made by writing or telephoning us at the following address or phone number:</w:t>
      </w:r>
    </w:p>
    <w:p>
      <w:pPr>
        <w:spacing w:after="0" w:line="14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1400 Sierra Point Parkway, Bldg C, Suite 200</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Brisbane, CA 94005</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(650) 822-5500</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06"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194310</wp:posOffset>
            </wp:positionV>
            <wp:extent cx="5417185"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417185" cy="1333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234315</wp:posOffset>
            </wp:positionV>
            <wp:extent cx="541718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1110615</wp:posOffset>
            </wp:positionV>
            <wp:extent cx="1467485" cy="4381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467485" cy="438150"/>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654685</wp:posOffset>
            </wp:positionV>
            <wp:extent cx="113538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207645</wp:posOffset>
            </wp:positionV>
            <wp:extent cx="113538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273685</wp:posOffset>
            </wp:positionV>
            <wp:extent cx="541718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320040</wp:posOffset>
            </wp:positionV>
            <wp:extent cx="5417185"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417185" cy="133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139065</wp:posOffset>
            </wp:positionV>
            <wp:extent cx="1135380" cy="351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13538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193040</wp:posOffset>
            </wp:positionV>
            <wp:extent cx="11353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80" w:right="339" w:firstLine="341"/>
        <w:spacing w:after="0" w:line="259" w:lineRule="auto"/>
        <w:rPr>
          <w:sz w:val="20"/>
          <w:szCs w:val="20"/>
          <w:color w:val="auto"/>
        </w:rPr>
      </w:pPr>
      <w:r>
        <w:rPr>
          <w:rFonts w:ascii="Times New Roman" w:cs="Times New Roman" w:eastAsia="Times New Roman" w:hAnsi="Times New Roman"/>
          <w:sz w:val="14"/>
          <w:szCs w:val="14"/>
          <w:color w:val="auto"/>
        </w:rPr>
        <w:t>We have entered into a sales agreement (the Sales Agreement) with TD Securities (USA) LLC (TD Cowen), relating to the sale of shares of our common stock offered by this prospectus. In accordance with the terms of the Sales Agreement, we may offer and sell shares of our common stock, par value $0.001 per share, from time to time, having an aggregate offering price of up to $150,000,000 through or to TD Cowen acting as our agent or principal.</w:t>
      </w:r>
    </w:p>
    <w:p>
      <w:pPr>
        <w:spacing w:after="0" w:line="141" w:lineRule="exact"/>
        <w:rPr>
          <w:sz w:val="20"/>
          <w:szCs w:val="20"/>
          <w:color w:val="auto"/>
        </w:rPr>
      </w:pPr>
    </w:p>
    <w:p>
      <w:pPr>
        <w:ind w:left="1380" w:right="479" w:firstLine="341"/>
        <w:spacing w:after="0" w:line="280"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trading symbol “ANNX.” On March 27, 2026, the last reported sale price of our common stock was $5.00 per share.</w:t>
      </w:r>
    </w:p>
    <w:p>
      <w:pPr>
        <w:spacing w:after="0" w:line="126"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3"/>
          <w:szCs w:val="13"/>
          <w:color w:val="auto"/>
        </w:rPr>
        <w:t>Sales of our common stock, if any, under this prospectus will be made in negotiated transactions, including block trades or block sales, or by any method permitted by law deemed to be “at the market offerings” as defined in Rule 415 promulgated under the Securities Act of 1933, as amended (the Securities Act) or by any other method permitted by law. Subject to the terms of the Sales Agreement,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29"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165735</wp:posOffset>
            </wp:positionV>
            <wp:extent cx="11353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394" w:lineRule="exact"/>
        <w:rPr>
          <w:sz w:val="20"/>
          <w:szCs w:val="20"/>
          <w:color w:val="auto"/>
        </w:rPr>
      </w:pPr>
    </w:p>
    <w:p>
      <w:pPr>
        <w:jc w:val="both"/>
        <w:ind w:left="1380" w:right="399" w:firstLine="341"/>
        <w:spacing w:after="0" w:line="241"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Before making an investment decision, please read the information contained in and incorporated by reference under the section 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S-6 of this prospectus and under similar headings in the other documents that we have filed or that are filed after the date hereof and incorporated by reference into this prospectus.</w:t>
      </w:r>
    </w:p>
    <w:p>
      <w:pPr>
        <w:spacing w:after="0" w:line="143" w:lineRule="exact"/>
        <w:rPr>
          <w:sz w:val="20"/>
          <w:szCs w:val="20"/>
          <w:color w:val="auto"/>
        </w:rPr>
      </w:pPr>
    </w:p>
    <w:p>
      <w:pPr>
        <w:ind w:left="1380" w:right="35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154305</wp:posOffset>
            </wp:positionV>
            <wp:extent cx="11353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TD Cowen</w:t>
      </w:r>
    </w:p>
    <w:p>
      <w:pPr>
        <w:spacing w:after="0" w:line="1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30, 2026.</w:t>
      </w:r>
    </w:p>
    <w:p>
      <w:pPr>
        <w:sectPr>
          <w:pgSz w:w="11900" w:h="16838" w:orient="portrait"/>
          <w:cols w:equalWidth="0" w:num="1">
            <w:col w:w="10159"/>
          </w:cols>
          <w:pgMar w:left="300" w:top="38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6"/>
                <w:szCs w:val="16"/>
                <w:color w:val="auto"/>
              </w:rPr>
            </w:pPr>
          </w:p>
        </w:tc>
      </w:tr>
      <w:tr>
        <w:trPr>
          <w:trHeight w:val="324"/>
        </w:trPr>
        <w:tc>
          <w:tcPr>
            <w:tcW w:w="662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147"/>
        </w:trPr>
        <w:tc>
          <w:tcPr>
            <w:tcW w:w="162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100" w:type="dxa"/>
            <w:vAlign w:val="bottom"/>
            <w:tcBorders>
              <w:top w:val="single" w:sz="8" w:color="0000EE"/>
            </w:tcBorders>
          </w:tcPr>
          <w:p>
            <w:pPr>
              <w:spacing w:after="0"/>
              <w:rPr>
                <w:sz w:val="12"/>
                <w:szCs w:val="12"/>
                <w:color w:val="auto"/>
              </w:rPr>
            </w:pPr>
          </w:p>
        </w:tc>
        <w:tc>
          <w:tcPr>
            <w:tcW w:w="4900" w:type="dxa"/>
            <w:vAlign w:val="bottom"/>
            <w:gridSpan w:val="4"/>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w:t>
            </w:r>
          </w:p>
        </w:tc>
      </w:tr>
      <w:tr>
        <w:trPr>
          <w:trHeight w:val="147"/>
        </w:trPr>
        <w:tc>
          <w:tcPr>
            <w:tcW w:w="66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S-6</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6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S-9</w:t>
            </w:r>
          </w:p>
        </w:tc>
      </w:tr>
      <w:tr>
        <w:trPr>
          <w:trHeight w:val="147"/>
        </w:trPr>
        <w:tc>
          <w:tcPr>
            <w:tcW w:w="412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2500" w:type="dxa"/>
            <w:vAlign w:val="bottom"/>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S-11</w:t>
            </w:r>
          </w:p>
        </w:tc>
      </w:tr>
      <w:tr>
        <w:trPr>
          <w:trHeight w:val="147"/>
        </w:trPr>
        <w:tc>
          <w:tcPr>
            <w:tcW w:w="1220" w:type="dxa"/>
            <w:vAlign w:val="bottom"/>
            <w:tcBorders>
              <w:top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rPr>
              <w:t>DILUTION</w:t>
            </w:r>
          </w:p>
        </w:tc>
        <w:tc>
          <w:tcPr>
            <w:tcW w:w="5400" w:type="dxa"/>
            <w:vAlign w:val="bottom"/>
            <w:gridSpan w:val="7"/>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S-12</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6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S-14</w:t>
            </w:r>
          </w:p>
        </w:tc>
      </w:tr>
      <w:tr>
        <w:trPr>
          <w:trHeight w:val="147"/>
        </w:trPr>
        <w:tc>
          <w:tcPr>
            <w:tcW w:w="1580" w:type="dxa"/>
            <w:vAlign w:val="bottom"/>
            <w:tcBorders>
              <w:top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5040" w:type="dxa"/>
            <w:vAlign w:val="bottom"/>
            <w:gridSpan w:val="6"/>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S-16</w:t>
            </w:r>
          </w:p>
        </w:tc>
      </w:tr>
      <w:tr>
        <w:trPr>
          <w:trHeight w:val="147"/>
        </w:trPr>
        <w:tc>
          <w:tcPr>
            <w:tcW w:w="66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2"/>
          </w:tcPr>
          <w:p>
            <w:pPr>
              <w:spacing w:after="0"/>
              <w:rPr>
                <w:sz w:val="12"/>
                <w:szCs w:val="12"/>
                <w:color w:val="auto"/>
              </w:rPr>
            </w:pPr>
          </w:p>
        </w:tc>
        <w:tc>
          <w:tcPr>
            <w:tcW w:w="5500" w:type="dxa"/>
            <w:vAlign w:val="bottom"/>
            <w:gridSpan w:val="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S-16</w:t>
            </w:r>
          </w:p>
        </w:tc>
      </w:tr>
      <w:tr>
        <w:trPr>
          <w:trHeight w:val="147"/>
        </w:trPr>
        <w:tc>
          <w:tcPr>
            <w:tcW w:w="296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3660" w:type="dxa"/>
            <w:vAlign w:val="bottom"/>
            <w:gridSpan w:val="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S-16</w:t>
            </w:r>
          </w:p>
        </w:tc>
      </w:tr>
      <w:tr>
        <w:trPr>
          <w:trHeight w:val="147"/>
        </w:trPr>
        <w:tc>
          <w:tcPr>
            <w:tcW w:w="66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S-16</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S-3 that we have filed with the U.S. Securities and Exchange Commission (the SEC), utilizing a “shelf” registration process as a “well-known seasoned issuer,” as defined in Rule 405 under the Securities Act of 1933, as amendment (the Securities Act). Under the shelf registration statement, we may offer shares of our common stock, preferred stock, debt securities and warrants, including common stock or preferred stock upon conversion of debt securities, common stock upon conversion of preferred stock, or common stock, preferred stock or debt securities upon the exercise of warrants. Under this prospectus, we may offer shares of our common stock having an aggregate offering price of up to $150,000,000 from time to time at prices and on terms to be determined by market conditions at the time of offering. We provide information to you about this offering of shares of our common stock in two separate documents that are bound together: (1) this prospectus, which describes the specific details regarding this offering; and (2) the accompanying base prospectus, which provides general information, some of which may not apply to this offering. Generally, when we refer to this “prospectus,” we are referring to both documents combined.</w:t>
      </w:r>
    </w:p>
    <w:p>
      <w:pPr>
        <w:spacing w:after="0" w:line="145"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This prospectus relates to the offering of our common stock having an aggregate offering price of up to $150,000,000 under the Sales Agreement. Before buying any of the common stock that we are offering, we urge you to carefully read this prospectus, together with the information incorporated by reference as described in the sections titled “Where You Can Find More Information” and “Incorporation of Certain Information by Reference” in this prospectus and the information in any applicable prospectus supplement or any free writing prospectus that we may authorize for use in connection with this offering. These documents contain important information that you should consider when making your investment decision.</w:t>
      </w:r>
    </w:p>
    <w:p>
      <w:pPr>
        <w:spacing w:after="0" w:line="142"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 this prospectus — the statement in the document having the later date modifies or supersedes the earlier statement.</w:t>
      </w:r>
    </w:p>
    <w:p>
      <w:pPr>
        <w:spacing w:after="0" w:line="145"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any applicable prospectus supplement and in any free writing prospectus that we may authorize for use in connection with this offering. We have not, and TD Cowen has not, authorized any other person to provide you with different information. If anyone provides you with different or inconsistent information, you should not rely on it. We and TD Cowen take no responsibility for, and can provide no assurance as to the reliability of, any other information that others may give you. You should assume that the information appearing in this prospectus, the documents incorporated by reference into this prospectus, and in any applicable prospectus supplement or in any free writing prospectus that we may authorize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the documents incorporated by reference into this prospectus, and in any applicable prospectus supplement or any free writing prospectus that we may authorize for use in connection with this offering, in their entirety before making an investment decision. You should also read and consider the information in the documents to which we have referred you in the sections of this prospectus titled “Where You Can Find More Information” and “Incorporation of Certain Information by Reference.”</w:t>
      </w:r>
    </w:p>
    <w:p>
      <w:pPr>
        <w:spacing w:after="0" w:line="148"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We and TD Cowen are offering to sell, and seeking offers to buy, shares of common stock only in jurisdictions where offers and sales are permitted. The distribution of this prospectus and the offering of our common stock in certain jurisdictions may be restricted by law. Persons outside the United States who come into</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spacing w:after="0" w:line="259" w:lineRule="auto"/>
        <w:rPr>
          <w:sz w:val="20"/>
          <w:szCs w:val="20"/>
          <w:color w:val="auto"/>
        </w:rPr>
      </w:pPr>
      <w:r>
        <w:rPr>
          <w:rFonts w:ascii="Times New Roman" w:cs="Times New Roman" w:eastAsia="Times New Roman" w:hAnsi="Times New Roman"/>
          <w:sz w:val="14"/>
          <w:szCs w:val="14"/>
          <w:color w:val="auto"/>
        </w:rPr>
        <w:t>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41" w:lineRule="exact"/>
        <w:rPr>
          <w:sz w:val="20"/>
          <w:szCs w:val="20"/>
          <w:color w:val="auto"/>
        </w:rPr>
      </w:pPr>
    </w:p>
    <w:p>
      <w:pPr>
        <w:ind w:left="1380" w:right="299" w:firstLine="341"/>
        <w:spacing w:after="0" w:line="255" w:lineRule="auto"/>
        <w:rPr>
          <w:sz w:val="20"/>
          <w:szCs w:val="20"/>
          <w:color w:val="auto"/>
        </w:rPr>
      </w:pPr>
      <w:r>
        <w:rPr>
          <w:rFonts w:ascii="Times New Roman" w:cs="Times New Roman" w:eastAsia="Times New Roman" w:hAnsi="Times New Roman"/>
          <w:sz w:val="14"/>
          <w:szCs w:val="14"/>
          <w:color w:val="auto"/>
        </w:rPr>
        <w:t>We obtained the industry and market data in this prospectus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and documents incorporated by reference into this prospectus. These and other factors could cause results to differ materially from those expressed in the estimates made by the independent parties and by us.</w:t>
      </w:r>
    </w:p>
    <w:p>
      <w:pPr>
        <w:spacing w:after="0" w:line="145"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sections titled “Where You Can Find More Information” and “Incorporation of Certain Information by Reference.”</w:t>
      </w:r>
    </w:p>
    <w:p>
      <w:pPr>
        <w:spacing w:after="0" w:line="142"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2" w:lineRule="exact"/>
        <w:rPr>
          <w:sz w:val="20"/>
          <w:szCs w:val="20"/>
          <w:color w:val="auto"/>
        </w:rPr>
      </w:pPr>
    </w:p>
    <w:p>
      <w:pPr>
        <w:ind w:left="1380" w:right="579" w:firstLine="341"/>
        <w:spacing w:after="0" w:line="265" w:lineRule="auto"/>
        <w:rPr>
          <w:sz w:val="20"/>
          <w:szCs w:val="20"/>
          <w:color w:val="auto"/>
        </w:rPr>
      </w:pPr>
      <w:r>
        <w:rPr>
          <w:rFonts w:ascii="Times New Roman" w:cs="Times New Roman" w:eastAsia="Times New Roman" w:hAnsi="Times New Roman"/>
          <w:sz w:val="14"/>
          <w:szCs w:val="14"/>
          <w:color w:val="auto"/>
        </w:rPr>
        <w:t>This prospectus, including the information incorporated by reference into this prospectus, include trademarks, service marks and trade names owned by us or others. All trademarks, service marks and trade names included or incorporated by reference in this prospectus, any applicable prospectus supplement or any related free writing prospectus are the property of their respective owners.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699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423535" cy="4699635"/>
                    </a:xfrm>
                    <a:prstGeom prst="rect">
                      <a:avLst/>
                    </a:prstGeom>
                    <a:noFill/>
                  </pic:spPr>
                </pic:pic>
              </a:graphicData>
            </a:graphic>
          </wp:anchor>
        </w:drawing>
      </w: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4" w:lineRule="exact"/>
        <w:rPr>
          <w:sz w:val="20"/>
          <w:szCs w:val="20"/>
          <w:color w:val="auto"/>
        </w:rPr>
      </w:pPr>
    </w:p>
    <w:p>
      <w:pPr>
        <w:ind w:left="1520" w:right="519" w:firstLine="330"/>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 titled “Risk Factors” contained in the applicable prospectus supplement and any related free writing prospectus, and under similar headings in the other documents that are incorporated by reference into this prospectus and the applicable prospectus supplement. You should also carefully read the information incorporated by reference into this prospectus, including our financial statements, and the exhibits to the registration statement of which this prospectus is a part.</w:t>
      </w:r>
    </w:p>
    <w:p>
      <w:pPr>
        <w:spacing w:after="0" w:line="225" w:lineRule="exact"/>
        <w:rPr>
          <w:sz w:val="20"/>
          <w:szCs w:val="20"/>
          <w:color w:val="auto"/>
        </w:rPr>
      </w:pPr>
    </w:p>
    <w:p>
      <w:pPr>
        <w:jc w:val="both"/>
        <w:ind w:left="1520" w:right="759" w:firstLine="330"/>
        <w:spacing w:after="0" w:line="266" w:lineRule="auto"/>
        <w:rPr>
          <w:sz w:val="20"/>
          <w:szCs w:val="20"/>
          <w:color w:val="auto"/>
        </w:rPr>
      </w:pPr>
      <w:r>
        <w:rPr>
          <w:rFonts w:ascii="Times New Roman" w:cs="Times New Roman" w:eastAsia="Times New Roman" w:hAnsi="Times New Roman"/>
          <w:sz w:val="14"/>
          <w:szCs w:val="14"/>
          <w:i w:val="1"/>
          <w:iCs w:val="1"/>
          <w:color w:val="auto"/>
        </w:rPr>
        <w:t>Except as otherwise indicated herein or as the context otherwise requires, references in this prospectus to “Annexon,” “the Company,” “we,” “us,” “our” and similar references refer to Annexon, Inc., a corporation under the laws of the State of Delaware and its consolidated subsidiaries, if any, unless otherwise specified.</w:t>
      </w:r>
    </w:p>
    <w:p>
      <w:pPr>
        <w:spacing w:after="0" w:line="1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76" w:lineRule="exact"/>
        <w:rPr>
          <w:sz w:val="20"/>
          <w:szCs w:val="20"/>
          <w:color w:val="auto"/>
        </w:rPr>
      </w:pPr>
    </w:p>
    <w:p>
      <w:pPr>
        <w:ind w:left="1520" w:right="459" w:firstLine="330"/>
        <w:spacing w:after="0" w:line="257" w:lineRule="auto"/>
        <w:rPr>
          <w:sz w:val="20"/>
          <w:szCs w:val="20"/>
          <w:color w:val="auto"/>
        </w:rPr>
      </w:pPr>
      <w:r>
        <w:rPr>
          <w:rFonts w:ascii="Times New Roman" w:cs="Times New Roman" w:eastAsia="Times New Roman" w:hAnsi="Times New Roman"/>
          <w:sz w:val="14"/>
          <w:szCs w:val="14"/>
          <w:color w:val="auto"/>
        </w:rPr>
        <w:t>We are a biopharmaceutical company advancing the next generation platform of targeted immunotherapies aimed at complement-mediated neuroinflammatory diseases that impact nearly 10 million people worldwide. The classical complement pathway is a core component to the body’s immune system that activates a powerful inflammatory cascade. We believe that by stopping the classical complement pathway at its start by targeting C1q, the initiating molecule of the classical complement pathway, our approach may have the potential to provide more complete protection against complement-mediated disorders of the body, brain and eye.</w:t>
      </w:r>
    </w:p>
    <w:p>
      <w:pPr>
        <w:spacing w:after="0" w:line="142" w:lineRule="exact"/>
        <w:rPr>
          <w:sz w:val="20"/>
          <w:szCs w:val="20"/>
          <w:color w:val="auto"/>
        </w:rPr>
      </w:pPr>
    </w:p>
    <w:p>
      <w:pPr>
        <w:ind w:left="1520" w:right="399" w:firstLine="330"/>
        <w:spacing w:after="0" w:line="254" w:lineRule="auto"/>
        <w:rPr>
          <w:sz w:val="20"/>
          <w:szCs w:val="20"/>
          <w:color w:val="auto"/>
        </w:rPr>
      </w:pPr>
      <w:r>
        <w:rPr>
          <w:rFonts w:ascii="Times New Roman" w:cs="Times New Roman" w:eastAsia="Times New Roman" w:hAnsi="Times New Roman"/>
          <w:sz w:val="14"/>
          <w:szCs w:val="14"/>
          <w:color w:val="auto"/>
        </w:rPr>
        <w:t>Using our proprietary platform, we are identifying and characterizing the role of the classical complement pathway in three therapeutic areas —autoimmune, neurodegeneration and ophthalmology. In so doing, we are advancing a pipeline of product candidates designed to block the early classical cascade and all downstream pathway components and their tissue-damaging functions. Our goal is to suppress excessive or aberrant classical complement activity that contributes to chronic inflammation and tissue damage to slow or even halt disease progression, while preserving the beneficial immune functions of the lectin and alternative complement pathways involved in the clearance of pathogens and damaged cells. Building on more than a decade of expertise stopping acute and chronic neuroinflammation at its source, we have demonstrated robust target engagement in the body, brain and eye, and clinical proof of concept in multiple diseases.</w:t>
      </w:r>
    </w:p>
    <w:p>
      <w:pPr>
        <w:spacing w:after="0" w:line="146" w:lineRule="exact"/>
        <w:rPr>
          <w:sz w:val="20"/>
          <w:szCs w:val="20"/>
          <w:color w:val="auto"/>
        </w:rPr>
      </w:pPr>
    </w:p>
    <w:p>
      <w:pPr>
        <w:jc w:val="both"/>
        <w:ind w:left="1520" w:right="419" w:firstLine="330"/>
        <w:spacing w:after="0" w:line="265" w:lineRule="auto"/>
        <w:rPr>
          <w:sz w:val="20"/>
          <w:szCs w:val="20"/>
          <w:color w:val="auto"/>
        </w:rPr>
      </w:pPr>
      <w:r>
        <w:rPr>
          <w:rFonts w:ascii="Times New Roman" w:cs="Times New Roman" w:eastAsia="Times New Roman" w:hAnsi="Times New Roman"/>
          <w:sz w:val="14"/>
          <w:szCs w:val="14"/>
          <w:color w:val="auto"/>
        </w:rPr>
        <w:t>Our strategic priorities include advancing two late-stage registrational programs: tanruprubart, toward our first potential approval in Guillain-Barré Syndrome, or GBS, and vonaprument, toward pivotal data in geographic atrophy, or GA, as well as developing ANX1502, a novel oral small molecule for autoimmune conditions.</w:t>
      </w:r>
    </w:p>
    <w:p>
      <w:pPr>
        <w:spacing w:after="0" w:line="136" w:lineRule="exact"/>
        <w:rPr>
          <w:sz w:val="20"/>
          <w:szCs w:val="20"/>
          <w:color w:val="auto"/>
        </w:rPr>
      </w:pPr>
    </w:p>
    <w:p>
      <w:pPr>
        <w:ind w:left="1520" w:right="559" w:firstLine="330"/>
        <w:spacing w:after="0" w:line="253" w:lineRule="auto"/>
        <w:rPr>
          <w:sz w:val="20"/>
          <w:szCs w:val="20"/>
          <w:color w:val="auto"/>
        </w:rPr>
      </w:pPr>
      <w:r>
        <w:rPr>
          <w:rFonts w:ascii="Times New Roman" w:cs="Times New Roman" w:eastAsia="Times New Roman" w:hAnsi="Times New Roman"/>
          <w:sz w:val="14"/>
          <w:szCs w:val="14"/>
          <w:color w:val="auto"/>
        </w:rPr>
        <w:t>Tanruprubart is an investigational targeted immunotherapy delivered in a single infusion to rapidly halt aggressive neuroinflammation and damage in GBS, an acute, rare, neuromuscular emergency that annually affects ~150,000 people worldwide. There are currently no therapies approved by the FDA for GBS and no substantial evidence of effectiveness from the current standard of care. In the placebo-controlled Phase 3 trial, approximately 90% of GBS patients treated with tanruprubart improved by week 1 and more than twice as many treated patients achieved a normal state of health at week 26. Tanruprubart has consistently demonstrated rapid and sustained functional improvements across a comprehensive data package that includes successful placebo-controlled proof-of-concept, or POC, and Phase 3 data, Real-World Evidence, or RWE, indirect comparison data of tanruprubart’s treatment effect versus current standard of care, and drug-drug interaction safety data with tanruprubart with current standard of care. Completed placebo-controlled studies were conducted in Southeast</w:t>
      </w: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646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423535" cy="4646295"/>
                    </a:xfrm>
                    <a:prstGeom prst="rect">
                      <a:avLst/>
                    </a:prstGeom>
                    <a:noFill/>
                  </pic:spPr>
                </pic:pic>
              </a:graphicData>
            </a:graphic>
          </wp:anchor>
        </w:drawing>
      </w:r>
    </w:p>
    <w:p>
      <w:pPr>
        <w:spacing w:after="0" w:line="365" w:lineRule="exact"/>
        <w:rPr>
          <w:sz w:val="20"/>
          <w:szCs w:val="20"/>
          <w:color w:val="auto"/>
        </w:rPr>
      </w:pPr>
    </w:p>
    <w:p>
      <w:pPr>
        <w:ind w:left="1520" w:right="459"/>
        <w:spacing w:after="0" w:line="265" w:lineRule="auto"/>
        <w:rPr>
          <w:sz w:val="20"/>
          <w:szCs w:val="20"/>
          <w:color w:val="auto"/>
        </w:rPr>
      </w:pPr>
      <w:r>
        <w:rPr>
          <w:rFonts w:ascii="Times New Roman" w:cs="Times New Roman" w:eastAsia="Times New Roman" w:hAnsi="Times New Roman"/>
          <w:sz w:val="14"/>
          <w:szCs w:val="14"/>
          <w:color w:val="auto"/>
        </w:rPr>
        <w:t>Asia given GBS’ sudden and debilitating disease course and lack of approved comparator in the U.S. The open-label FORWARD study in the U.S. and Europe is ongoing and designed to support a broad intended label for the treatment of GBS and further expand the use of tanruprubart across geographies.</w:t>
      </w:r>
    </w:p>
    <w:p>
      <w:pPr>
        <w:spacing w:after="0" w:line="136" w:lineRule="exact"/>
        <w:rPr>
          <w:sz w:val="20"/>
          <w:szCs w:val="20"/>
          <w:color w:val="auto"/>
        </w:rPr>
      </w:pPr>
    </w:p>
    <w:p>
      <w:pPr>
        <w:ind w:left="1520" w:right="399" w:firstLine="330"/>
        <w:spacing w:after="0" w:line="253" w:lineRule="auto"/>
        <w:rPr>
          <w:sz w:val="20"/>
          <w:szCs w:val="20"/>
          <w:color w:val="auto"/>
        </w:rPr>
      </w:pPr>
      <w:r>
        <w:rPr>
          <w:rFonts w:ascii="Times New Roman" w:cs="Times New Roman" w:eastAsia="Times New Roman" w:hAnsi="Times New Roman"/>
          <w:sz w:val="14"/>
          <w:szCs w:val="14"/>
          <w:color w:val="auto"/>
        </w:rPr>
        <w:t>We filed the Marketing Authorization Application, or MAA, with the European Medicines Agency, or EMA, for tanruprubart for the treatment of GBS in January 2026, and we continue to engage with EU regulators through the MAA review process. Tanruprubart has been granted orphan designation from the EMA. Tanruprubart has also been granted Fast Track and orphan drug designation for the treatment of GBS from the FDA. The currently ongoing open-label U.S./EU FORWARD study is designed to broaden Western experience with tanruprubart, and we anticipate initial pharmacokinetics, or PK, pharmacodynamics, or PD, biomarker and functional data in 2026 to supplement our comprehensive data package for tanruprubart in GBS. Following such data, we plan to engage with the FDA with the goal of reaching alignment on our current and supplemental data package and information supporting the generalizability of tanruprubart in Western patients for submission of a biologics license application, or BLA, in 2026.</w:t>
      </w:r>
    </w:p>
    <w:p>
      <w:pPr>
        <w:spacing w:after="0" w:line="148" w:lineRule="exact"/>
        <w:rPr>
          <w:sz w:val="20"/>
          <w:szCs w:val="20"/>
          <w:color w:val="auto"/>
        </w:rPr>
      </w:pPr>
    </w:p>
    <w:p>
      <w:pPr>
        <w:ind w:left="1520" w:right="419" w:firstLine="330"/>
        <w:spacing w:after="0" w:line="255" w:lineRule="auto"/>
        <w:rPr>
          <w:sz w:val="20"/>
          <w:szCs w:val="20"/>
          <w:color w:val="auto"/>
        </w:rPr>
      </w:pPr>
      <w:r>
        <w:rPr>
          <w:rFonts w:ascii="Times New Roman" w:cs="Times New Roman" w:eastAsia="Times New Roman" w:hAnsi="Times New Roman"/>
          <w:sz w:val="14"/>
          <w:szCs w:val="14"/>
          <w:color w:val="auto"/>
        </w:rPr>
        <w:t>Vonaprument is an investigational neuroprotective inhibitor of C1q and the classical complement cascade delivered intravitreally for dry AMD with GA, a leading cause of blindness affecting more than eight million people worldwide. There are no approved therapies for GA targeting the preservation of vision. Vonaprument is the only investigational therapy in GA to show significant vision preservation on assessments of best corrected visual acuity, or BCVA, and low luminance visual acuity, or LLVA, demonstrating significant protection from vision loss in both normal and low light conditions, as well as significant preservation of central retinal photoreceptors necessary for visual acuity. In the Phase 2 ARCHER trial, vonaprument also reduced risk of 15-letter vision loss by more than 70%.</w:t>
      </w:r>
    </w:p>
    <w:p>
      <w:pPr>
        <w:spacing w:after="0" w:line="145" w:lineRule="exact"/>
        <w:rPr>
          <w:sz w:val="20"/>
          <w:szCs w:val="20"/>
          <w:color w:val="auto"/>
        </w:rPr>
      </w:pPr>
    </w:p>
    <w:p>
      <w:pPr>
        <w:ind w:left="1520" w:right="459" w:firstLine="330"/>
        <w:spacing w:after="0" w:line="259" w:lineRule="auto"/>
        <w:rPr>
          <w:sz w:val="20"/>
          <w:szCs w:val="20"/>
          <w:color w:val="auto"/>
        </w:rPr>
      </w:pPr>
      <w:r>
        <w:rPr>
          <w:rFonts w:ascii="Times New Roman" w:cs="Times New Roman" w:eastAsia="Times New Roman" w:hAnsi="Times New Roman"/>
          <w:sz w:val="14"/>
          <w:szCs w:val="14"/>
          <w:color w:val="auto"/>
        </w:rPr>
        <w:t>In July 2025, we completed enrollment of 659 patients in ARCHER II, a global, sham-controlled, double-masked Phase 3 trial for patients with GA. The primary endpoint of ARCHER II is the gold standard for visual acuity, measuring proportion of patients with confirmed BCVA ≥15-letter loss at any two consecutive visits through month 15. A secondary endpoint is ellipsoid zone, or EZ, loss, which is a key anatomic measure of photoreceptor health and function. We plan to report topline data in the fourth quarter of 2026.</w:t>
      </w:r>
    </w:p>
    <w:p>
      <w:pPr>
        <w:spacing w:after="0" w:line="141" w:lineRule="exact"/>
        <w:rPr>
          <w:sz w:val="20"/>
          <w:szCs w:val="20"/>
          <w:color w:val="auto"/>
        </w:rPr>
      </w:pPr>
    </w:p>
    <w:p>
      <w:pPr>
        <w:ind w:left="1520" w:right="459" w:firstLine="330"/>
        <w:spacing w:after="0" w:line="253" w:lineRule="auto"/>
        <w:rPr>
          <w:sz w:val="20"/>
          <w:szCs w:val="20"/>
          <w:color w:val="auto"/>
        </w:rPr>
      </w:pPr>
      <w:r>
        <w:rPr>
          <w:rFonts w:ascii="Times New Roman" w:cs="Times New Roman" w:eastAsia="Times New Roman" w:hAnsi="Times New Roman"/>
          <w:sz w:val="14"/>
          <w:szCs w:val="14"/>
          <w:color w:val="auto"/>
        </w:rPr>
        <w:t>We have established a global registration path with the FDA and EMA, which supports the potential of vonaprument to be the first treatment approved in both Europe and the U.S. for the protection of vision in patients with GA. The single-study program will be analyzed as two sub-studies in the U.S. in accordance with the FDA’s two-trial recommendation. Vonaprument is the first and only therapeutic candidate for the treatment of GA to receive Priority Medicine, or PRIME, designation by the EMA, which provides early and proactive support to developers of promising medicines that may offer a major therapeutic advantage over existing treatments or benefit to patients without treatment options. Vonaprument was also selected by the EMA for the Product Development Coordinator Pilot launched in July 2025 to help PRIME designation holders efficiently navigate regulatory interactions including expedited scientific advice, MAA submission readiness activities, and ad-hoc queries throughout the development program.</w:t>
      </w:r>
    </w:p>
    <w:p>
      <w:pPr>
        <w:spacing w:after="0" w:line="148" w:lineRule="exact"/>
        <w:rPr>
          <w:sz w:val="20"/>
          <w:szCs w:val="20"/>
          <w:color w:val="auto"/>
        </w:rPr>
      </w:pPr>
    </w:p>
    <w:p>
      <w:pPr>
        <w:ind w:left="1520" w:right="399" w:firstLine="330"/>
        <w:spacing w:after="0" w:line="253" w:lineRule="auto"/>
        <w:rPr>
          <w:sz w:val="20"/>
          <w:szCs w:val="20"/>
          <w:color w:val="auto"/>
        </w:rPr>
      </w:pPr>
      <w:r>
        <w:rPr>
          <w:rFonts w:ascii="Times New Roman" w:cs="Times New Roman" w:eastAsia="Times New Roman" w:hAnsi="Times New Roman"/>
          <w:sz w:val="14"/>
          <w:szCs w:val="14"/>
          <w:color w:val="auto"/>
        </w:rPr>
        <w:t>ANX1502 is a novel oral small molecule inhibiting the activated form of C1s, an enzyme carried by C1q to initiate the classical cascade, which we believe is first-in-kind and has the potential to offer the advantages of selective upstream classical complement inhibition with the convenience and flexibility of oral administration. In a Phase 1 single-ascending dose, or SAD, and multiple-ascending dose, or MAD, clinical trial in healthy volunteers designed to evaluate the safety, tolerability, PK and PD, ANX1502 was generally well tolerated across cohorts with no serious adverse events, achieved target levels of active drug and showed supportive impact on a PD biomarker of complement activity. We are evaluating an enteric-coated tablet formulation of ANX1502 in an ongoing POC study in patients with cold agglutinin disease, or CAD. We have observed drug levels at and exceeding the pre-defined target in fasted CAD patients. Dosing is ongoing to enhance our understanding of ANX1502’s profile and we plan to provide an update upon study completion in 2026.</w:t>
      </w: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3159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423535" cy="3159760"/>
                    </a:xfrm>
                    <a:prstGeom prst="rect">
                      <a:avLst/>
                    </a:prstGeom>
                    <a:noFill/>
                  </pic:spPr>
                </pic:pic>
              </a:graphicData>
            </a:graphic>
          </wp:anchor>
        </w:drawing>
      </w:r>
    </w:p>
    <w:p>
      <w:pPr>
        <w:spacing w:after="0" w:line="365"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Annexon was co-founded by the late Dr. Ben Barres, former member of the National Academy of Sciences, Chair of Neurobiology at Stanford University and a pioneer in complement-mediated neurodegeneration, and Dr. Arnon Rosenthal, a world-renowned scientist and industry executive. We have assembled a seasoned and accomplished management team that has been involved in the discovery, development, approval and commercialization of numerous marketed drugs, and has been studying the complement pathway and autoimmune and neurodegenerative disorders for decades. Our team is further supported by an experienced scientific advisory board, board of directors and leading healthcare investors that share our commitment to developing disease-modifying medicines for patients with neuroinflammatory diseases of the body, brain and eye.</w:t>
      </w:r>
    </w:p>
    <w:p>
      <w:pPr>
        <w:spacing w:after="0" w:line="128" w:lineRule="exact"/>
        <w:rPr>
          <w:sz w:val="20"/>
          <w:szCs w:val="20"/>
          <w:color w:val="auto"/>
        </w:rPr>
      </w:pPr>
    </w:p>
    <w:p>
      <w:pPr>
        <w:ind w:left="1520" w:right="479" w:firstLine="330"/>
        <w:spacing w:after="0" w:line="265" w:lineRule="auto"/>
        <w:rPr>
          <w:sz w:val="20"/>
          <w:szCs w:val="20"/>
          <w:color w:val="auto"/>
        </w:rPr>
      </w:pPr>
      <w:r>
        <w:rPr>
          <w:rFonts w:ascii="Times New Roman" w:cs="Times New Roman" w:eastAsia="Times New Roman" w:hAnsi="Times New Roman"/>
          <w:sz w:val="14"/>
          <w:szCs w:val="14"/>
          <w:color w:val="auto"/>
        </w:rPr>
        <w:t>We hold worldwide development and commercialization rights, including through exclusive licenses, to all of our product candidates, which allows us to strategically maximize value from our product portfolio over time. Our patent portfolio includes patent protection for our targeted immunotherapy platform and each of our product candidates.</w:t>
      </w:r>
    </w:p>
    <w:p>
      <w:pPr>
        <w:spacing w:after="0" w:line="1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6" w:lineRule="exact"/>
        <w:rPr>
          <w:sz w:val="20"/>
          <w:szCs w:val="20"/>
          <w:color w:val="auto"/>
        </w:rPr>
      </w:pPr>
    </w:p>
    <w:p>
      <w:pPr>
        <w:ind w:left="1520" w:right="479" w:firstLine="330"/>
        <w:spacing w:after="0" w:line="25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March 3, 2011. Our principal executive offices are located at 1400 Sierra Point Parkway, Bldg C, Suite 200, Brisbane, California 94005, and our telephone number is (650) 822-5500. Our corporate website address is www.annexonbio.com.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6" w:lineRule="exact"/>
        <w:rPr>
          <w:sz w:val="20"/>
          <w:szCs w:val="20"/>
          <w:color w:val="auto"/>
        </w:rPr>
      </w:pPr>
    </w:p>
    <w:p>
      <w:pPr>
        <w:ind w:left="1520" w:right="399" w:firstLine="330"/>
        <w:spacing w:after="0" w:line="254"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(“Exchange Act”), which allows us to take advantage of many of the exemptions available to “emerging growth companies” as defined in the Jumpstart Our Business Startups Act of 2012,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5535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423535" cy="4553585"/>
                    </a:xfrm>
                    <a:prstGeom prst="rect">
                      <a:avLst/>
                    </a:prstGeom>
                    <a:noFill/>
                  </pic:spPr>
                </pic:pic>
              </a:graphicData>
            </a:graphic>
          </wp:anchor>
        </w:drawing>
      </w: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10159"/>
          </w:cols>
          <w:pgMar w:left="300" w:top="384" w:right="1440" w:bottom="1440" w:gutter="0" w:footer="0" w:header="0"/>
        </w:sectPr>
      </w:pPr>
    </w:p>
    <w:p>
      <w:pPr>
        <w:spacing w:after="0" w:line="208"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3"/>
          <w:szCs w:val="13"/>
          <w:color w:val="auto"/>
        </w:rPr>
        <w:t>Common Stock Offered by 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of our common stock having an aggregate offering price of up to $150,000,000.</w:t>
      </w:r>
    </w:p>
    <w:p>
      <w:pPr>
        <w:spacing w:after="0" w:line="200" w:lineRule="exact"/>
        <w:rPr>
          <w:sz w:val="20"/>
          <w:szCs w:val="20"/>
          <w:color w:val="auto"/>
        </w:rPr>
      </w:pPr>
    </w:p>
    <w:p>
      <w:pPr>
        <w:sectPr>
          <w:pgSz w:w="11900" w:h="16838" w:orient="portrait"/>
          <w:cols w:equalWidth="0" w:num="2">
            <w:col w:w="3920" w:space="720"/>
            <w:col w:w="5519"/>
          </w:cols>
          <w:pgMar w:left="300" w:top="384" w:right="1440" w:bottom="1440" w:gutter="0" w:footer="0" w:header="0"/>
          <w:type w:val="continuous"/>
        </w:sectPr>
      </w:pP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439"/>
        <w:spacing w:after="0" w:line="257" w:lineRule="auto"/>
        <w:rPr>
          <w:sz w:val="20"/>
          <w:szCs w:val="20"/>
          <w:color w:val="auto"/>
        </w:rPr>
      </w:pPr>
      <w:r>
        <w:rPr>
          <w:rFonts w:ascii="Times New Roman" w:cs="Times New Roman" w:eastAsia="Times New Roman" w:hAnsi="Times New Roman"/>
          <w:sz w:val="14"/>
          <w:szCs w:val="14"/>
          <w:color w:val="auto"/>
        </w:rPr>
        <w:t>Up to 179,362,800 (as more fully described in the notes following this table), assuming sales of 30,000,000 shares of our common stock in this offering at an assumed offering price of $5.00 per share, which was the last reported sale price of our common stock on the Nasdaq Global Select Market on March 27, 2026. The actual number of shares issued will vary depending on the sales price under this offering.</w:t>
      </w:r>
    </w:p>
    <w:p>
      <w:pPr>
        <w:spacing w:after="0" w:line="163" w:lineRule="exact"/>
        <w:rPr>
          <w:sz w:val="20"/>
          <w:szCs w:val="20"/>
          <w:color w:val="auto"/>
        </w:rPr>
      </w:pPr>
    </w:p>
    <w:p>
      <w:pPr>
        <w:sectPr>
          <w:pgSz w:w="11900" w:h="16838" w:orient="portrait"/>
          <w:cols w:equalWidth="0" w:num="2">
            <w:col w:w="4500" w:space="140"/>
            <w:col w:w="5519"/>
          </w:cols>
          <w:pgMar w:left="300" w:top="384"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3"/>
          <w:szCs w:val="13"/>
          <w:color w:val="auto"/>
        </w:rPr>
        <w:t>Manner of Offering</w:t>
      </w:r>
    </w:p>
    <w:p>
      <w:pPr>
        <w:spacing w:after="0" w:line="20" w:lineRule="exact"/>
        <w:rPr>
          <w:sz w:val="20"/>
          <w:szCs w:val="20"/>
          <w:color w:val="auto"/>
        </w:rPr>
      </w:pPr>
      <w:r>
        <w:rPr>
          <w:sz w:val="20"/>
          <w:szCs w:val="20"/>
          <w:color w:val="auto"/>
        </w:rPr>
        <w:br w:type="column"/>
      </w:r>
    </w:p>
    <w:p>
      <w:pPr>
        <w:ind w:right="659"/>
        <w:spacing w:after="0" w:line="265" w:lineRule="auto"/>
        <w:rPr>
          <w:sz w:val="20"/>
          <w:szCs w:val="20"/>
          <w:color w:val="auto"/>
        </w:rPr>
      </w:pPr>
      <w:r>
        <w:rPr>
          <w:rFonts w:ascii="Times New Roman" w:cs="Times New Roman" w:eastAsia="Times New Roman" w:hAnsi="Times New Roman"/>
          <w:sz w:val="14"/>
          <w:szCs w:val="14"/>
          <w:color w:val="auto"/>
        </w:rPr>
        <w:t>From time to time by us through or to TD Cowen, acting as agent on our behalf or a principal, including “at-the-market” offerings, as applicable. See section titled “Plan of Distribution” on page S-14 of this prospectus.</w:t>
      </w:r>
    </w:p>
    <w:p>
      <w:pPr>
        <w:spacing w:after="0" w:line="157" w:lineRule="exact"/>
        <w:rPr>
          <w:sz w:val="20"/>
          <w:szCs w:val="20"/>
          <w:color w:val="auto"/>
        </w:rPr>
      </w:pPr>
    </w:p>
    <w:p>
      <w:pPr>
        <w:sectPr>
          <w:pgSz w:w="11900" w:h="16838" w:orient="portrait"/>
          <w:cols w:equalWidth="0" w:num="2">
            <w:col w:w="3920" w:space="720"/>
            <w:col w:w="5519"/>
          </w:cols>
          <w:pgMar w:left="300" w:top="384"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ind w:right="519"/>
        <w:spacing w:after="0" w:line="254" w:lineRule="auto"/>
        <w:rPr>
          <w:sz w:val="20"/>
          <w:szCs w:val="20"/>
          <w:color w:val="auto"/>
        </w:rPr>
      </w:pPr>
      <w:r>
        <w:rPr>
          <w:rFonts w:ascii="Times New Roman" w:cs="Times New Roman" w:eastAsia="Times New Roman" w:hAnsi="Times New Roman"/>
          <w:sz w:val="14"/>
          <w:szCs w:val="14"/>
          <w:color w:val="auto"/>
        </w:rPr>
        <w:t>We intend to use the net proceeds from this offering for working capital and general corporate purposes, including research and development expenses, general and administrative expenses and capital expenditures. We may also use a portion of the net proceeds and our existing cash, cash equivalents and marketable securities to in-license, acquire, or invest in complementary businesses, technology platforms, products or assets. However, we have no current commitments or obligations to do so. See the section titled “Use of Proceeds” on page S-11 of this prospectus.</w:t>
      </w:r>
    </w:p>
    <w:p>
      <w:pPr>
        <w:spacing w:after="0" w:line="166" w:lineRule="exact"/>
        <w:rPr>
          <w:sz w:val="20"/>
          <w:szCs w:val="20"/>
          <w:color w:val="auto"/>
        </w:rPr>
      </w:pPr>
    </w:p>
    <w:p>
      <w:pPr>
        <w:sectPr>
          <w:pgSz w:w="11900" w:h="16838" w:orient="portrait"/>
          <w:cols w:equalWidth="0" w:num="2">
            <w:col w:w="3920" w:space="720"/>
            <w:col w:w="5519"/>
          </w:cols>
          <w:pgMar w:left="300" w:top="384"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ind w:right="639"/>
        <w:spacing w:after="0" w:line="257" w:lineRule="auto"/>
        <w:rPr>
          <w:sz w:val="20"/>
          <w:szCs w:val="20"/>
          <w:color w:val="auto"/>
        </w:rPr>
      </w:pPr>
      <w:r>
        <w:rPr>
          <w:rFonts w:ascii="Times New Roman" w:cs="Times New Roman" w:eastAsia="Times New Roman" w:hAnsi="Times New Roman"/>
          <w:sz w:val="14"/>
          <w:szCs w:val="14"/>
          <w:color w:val="auto"/>
        </w:rPr>
        <w:t>Investing in our common stock involves significant risks. Before making an investment decision, please read the information contained in the section titled “Risk Factors” beginning on page S-6 of this prospectus and under similar headings in the other documents that we have filed or that are filed after the date hereof and incorporated by reference into this prospectus.</w:t>
      </w:r>
    </w:p>
    <w:p>
      <w:pPr>
        <w:spacing w:after="0" w:line="163" w:lineRule="exact"/>
        <w:rPr>
          <w:sz w:val="20"/>
          <w:szCs w:val="20"/>
          <w:color w:val="auto"/>
        </w:rPr>
      </w:pPr>
    </w:p>
    <w:p>
      <w:pPr>
        <w:sectPr>
          <w:pgSz w:w="11900" w:h="16838" w:orient="portrait"/>
          <w:cols w:equalWidth="0" w:num="2">
            <w:col w:w="3920" w:space="720"/>
            <w:col w:w="5519"/>
          </w:cols>
          <w:pgMar w:left="300" w:top="384"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3"/>
          <w:szCs w:val="13"/>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“ANNX”</w:t>
      </w:r>
    </w:p>
    <w:p>
      <w:pPr>
        <w:spacing w:after="0" w:line="184" w:lineRule="exact"/>
        <w:rPr>
          <w:sz w:val="20"/>
          <w:szCs w:val="20"/>
          <w:color w:val="auto"/>
        </w:rPr>
      </w:pPr>
    </w:p>
    <w:p>
      <w:pPr>
        <w:sectPr>
          <w:pgSz w:w="11900" w:h="16838" w:orient="portrait"/>
          <w:cols w:equalWidth="0" w:num="2">
            <w:col w:w="3920" w:space="720"/>
            <w:col w:w="5519"/>
          </w:cols>
          <w:pgMar w:left="300" w:top="384" w:right="1440" w:bottom="1440" w:gutter="0" w:footer="0" w:header="0"/>
          <w:type w:val="continuous"/>
        </w:sectPr>
      </w:pPr>
    </w:p>
    <w:p>
      <w:pPr>
        <w:ind w:left="1520" w:right="519" w:firstLine="330"/>
        <w:spacing w:after="0" w:line="280"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the offering is based on 149,362,800 shares of common stock outstanding as of December 31, 2025, and excludes:</w:t>
      </w:r>
    </w:p>
    <w:p>
      <w:pPr>
        <w:spacing w:after="0" w:line="53" w:lineRule="exact"/>
        <w:rPr>
          <w:sz w:val="20"/>
          <w:szCs w:val="20"/>
          <w:color w:val="auto"/>
        </w:rPr>
      </w:pPr>
    </w:p>
    <w:p>
      <w:pPr>
        <w:ind w:left="2240" w:right="959" w:hanging="313"/>
        <w:spacing w:after="0" w:line="280" w:lineRule="auto"/>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18,645,325 shares of common stock issuable upon the exercise of stock options outstanding as of December 31, 2025, with a weighted-average exercise price of $6.69 per share;</w:t>
      </w:r>
    </w:p>
    <w:p>
      <w:pPr>
        <w:spacing w:after="0" w:line="53" w:lineRule="exact"/>
        <w:rPr>
          <w:rFonts w:ascii="Times New Roman" w:cs="Times New Roman" w:eastAsia="Times New Roman" w:hAnsi="Times New Roman"/>
          <w:sz w:val="14"/>
          <w:szCs w:val="14"/>
          <w:color w:val="auto"/>
        </w:rPr>
      </w:pPr>
    </w:p>
    <w:p>
      <w:pPr>
        <w:ind w:left="2240" w:right="759" w:hanging="313"/>
        <w:spacing w:after="0" w:line="280" w:lineRule="auto"/>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4,199,313 shares of common stock issuable upon the exercise of stock options granted subsequent to December 31, 2025, with a weighted average exercise price of $5.26 per share;</w:t>
      </w:r>
    </w:p>
    <w:p>
      <w:pPr>
        <w:spacing w:after="0" w:line="53"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1,252,847 shares of common stock underlying restricted stock units outstanding as of December 31, 2025;</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1,855,563 shares of common stock underlying restricted stock units granted subsequent to December 31, 2025;</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4"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14865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423535" cy="1486535"/>
                    </a:xfrm>
                    <a:prstGeom prst="rect">
                      <a:avLst/>
                    </a:prstGeom>
                    <a:noFill/>
                  </pic:spPr>
                </pic:pic>
              </a:graphicData>
            </a:graphic>
          </wp:anchor>
        </w:drawing>
      </w:r>
    </w:p>
    <w:p>
      <w:pPr>
        <w:spacing w:after="0" w:line="365" w:lineRule="exact"/>
        <w:rPr>
          <w:sz w:val="20"/>
          <w:szCs w:val="20"/>
          <w:color w:val="auto"/>
        </w:rPr>
      </w:pPr>
    </w:p>
    <w:p>
      <w:pPr>
        <w:ind w:left="2240" w:right="579" w:hanging="313"/>
        <w:spacing w:after="0" w:line="280" w:lineRule="auto"/>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42,293,577 shares of common stock issuable upon the exercise of pre-funded warrants outstanding as of December 31, 2025, with a weighted average exercise price of $0.001 per share;</w:t>
      </w:r>
    </w:p>
    <w:p>
      <w:pPr>
        <w:spacing w:after="0" w:line="53" w:lineRule="exact"/>
        <w:rPr>
          <w:rFonts w:ascii="Times New Roman" w:cs="Times New Roman" w:eastAsia="Times New Roman" w:hAnsi="Times New Roman"/>
          <w:sz w:val="14"/>
          <w:szCs w:val="14"/>
          <w:color w:val="auto"/>
        </w:rPr>
      </w:pPr>
    </w:p>
    <w:p>
      <w:pPr>
        <w:ind w:left="2240" w:right="759" w:hanging="313"/>
        <w:spacing w:after="0" w:line="280" w:lineRule="auto"/>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6,877,622 shares of common stock issuable upon the exercise of common warrants outstanding as of December 31, 2025, with a weighted average exercise price of $5.81 per share;</w:t>
      </w:r>
    </w:p>
    <w:p>
      <w:pPr>
        <w:spacing w:after="0" w:line="53" w:lineRule="exact"/>
        <w:rPr>
          <w:rFonts w:ascii="Times New Roman" w:cs="Times New Roman" w:eastAsia="Times New Roman" w:hAnsi="Times New Roman"/>
          <w:sz w:val="14"/>
          <w:szCs w:val="14"/>
          <w:color w:val="auto"/>
        </w:rPr>
      </w:pPr>
    </w:p>
    <w:p>
      <w:pPr>
        <w:ind w:left="2240" w:right="879" w:hanging="313"/>
        <w:spacing w:after="0" w:line="280" w:lineRule="auto"/>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an aggregate of 1,184,877 shares of common stock available for future grant under our 2020 Equity Incentive Plan, as of December 31, 2025;</w:t>
      </w:r>
    </w:p>
    <w:p>
      <w:pPr>
        <w:spacing w:after="0" w:line="53" w:lineRule="exact"/>
        <w:rPr>
          <w:rFonts w:ascii="Times New Roman" w:cs="Times New Roman" w:eastAsia="Times New Roman" w:hAnsi="Times New Roman"/>
          <w:sz w:val="14"/>
          <w:szCs w:val="14"/>
          <w:color w:val="auto"/>
        </w:rPr>
      </w:pPr>
    </w:p>
    <w:p>
      <w:pPr>
        <w:ind w:left="2240" w:right="599" w:hanging="313"/>
        <w:spacing w:after="0" w:line="280" w:lineRule="auto"/>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an aggregate of 3,585,793 shares of common stock available for future grant under our 2022 Employment Inducement Award Plan as of December 31, 2025; and</w:t>
      </w:r>
    </w:p>
    <w:p>
      <w:pPr>
        <w:spacing w:after="0" w:line="53" w:lineRule="exact"/>
        <w:rPr>
          <w:rFonts w:ascii="Times New Roman" w:cs="Times New Roman" w:eastAsia="Times New Roman" w:hAnsi="Times New Roman"/>
          <w:sz w:val="14"/>
          <w:szCs w:val="14"/>
          <w:color w:val="auto"/>
        </w:rPr>
      </w:pPr>
    </w:p>
    <w:p>
      <w:pPr>
        <w:ind w:left="2240" w:right="539" w:hanging="313"/>
        <w:spacing w:after="0" w:line="280" w:lineRule="auto"/>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an aggregate of 2,800,550 shares of common stock available for future grant under our 2020 Employee Stock Purchase Plan as of December 31, 2025.</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380" w:right="479" w:firstLine="341"/>
        <w:spacing w:after="0" w:line="282" w:lineRule="auto"/>
        <w:rPr>
          <w:sz w:val="20"/>
          <w:szCs w:val="20"/>
          <w:color w:val="auto"/>
        </w:rPr>
      </w:pPr>
      <w:r>
        <w:rPr>
          <w:rFonts w:ascii="Times New Roman" w:cs="Times New Roman" w:eastAsia="Times New Roman" w:hAnsi="Times New Roman"/>
          <w:sz w:val="13"/>
          <w:szCs w:val="13"/>
          <w:i w:val="1"/>
          <w:iCs w:val="1"/>
          <w:color w:val="auto"/>
        </w:rPr>
        <w:t>Investing in our common stock involves a high degree of risk. Before deciding whether to invest in our common stock, you should consider carefully the risks and uncertainties described below and discussed under the section titled “Risk Factors” contained in our Annual Report on Form</w:t>
      </w:r>
    </w:p>
    <w:p>
      <w:pPr>
        <w:ind w:left="1380" w:right="299"/>
        <w:spacing w:after="0" w:line="250" w:lineRule="auto"/>
        <w:rPr>
          <w:sz w:val="20"/>
          <w:szCs w:val="20"/>
          <w:color w:val="auto"/>
        </w:rPr>
      </w:pPr>
      <w:r>
        <w:rPr>
          <w:rFonts w:ascii="Times New Roman" w:cs="Times New Roman" w:eastAsia="Times New Roman" w:hAnsi="Times New Roman"/>
          <w:sz w:val="14"/>
          <w:szCs w:val="14"/>
          <w:i w:val="1"/>
          <w:iCs w:val="1"/>
          <w:color w:val="auto"/>
        </w:rPr>
        <w:t>10-K for the year ended December 31, 2025, which are incorporated by reference into this prospectus in their entirety, as updated or superseded by the risks and uncertainties described under similar headings in the other documents that are filed after the date hereof and incorporated by reference into this prospectus, together with the other information in this prospectus, the documents incorporated by reference and any applicable prospectus supplement or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2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Additional Risks Related to This Offering</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Management will have broad discretion as to the use of the net proceeds from this offering, and may not use the proceeds effectively.</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Because we have not designated the amount of net proceeds from this offering to be used for any particular purpose, our management will have broad discretion as to the application of any net proceeds from this offering and could use them for purposes other than those contemplated at the time of the offering. Our management may use any net proceeds for corporate purposes that may not improve our financial condition or market value. If our management applies these proceeds in a manner that does not yield a significant return, if any, on our investment of these net proceeds, it could compromise our ability to pursue our growth strategy and adversely affect the market price of our common stock. You will not have the opportunity to influence our decisions on how to use the net proceeds from this offering.</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aggregate proceeds resulting from sales made under the Sales Agreement.</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TD Cowen, at any time throughout the term of the Sales Agreement. The number of shares that are sold through the sales agent after delivering a placement notice will fluctuate based on a number of factors, including the market price of our common stock during the sales period, any limits we may set with the sales agent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immediate and substantial dilution as a result of this offering.</w:t>
      </w:r>
    </w:p>
    <w:p>
      <w:pPr>
        <w:spacing w:after="0" w:line="92"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The offering price per share of our common stock in this offering may exceed the net tangible book value per share of our common stock outstanding prior to this offering. Assuming that an aggregate of 30,000,000 shares of our common stock are sold in this offering, based on an assumed sale price of $5.00 per share, the last reported sale price of our common stock on the Nasdaq Global Select Market on March 27, 2026, for aggregate gross proceeds of $150,000,000, and, after deducting commissions and estimated offering expenses payable by us, you will experience immediate dilution of $3.01 per share, representing the difference between the price you pay and our as adjusted net tangible book value per share as of December 31, 2025, after giving effect to this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579"/>
        <w:spacing w:after="0" w:line="280" w:lineRule="auto"/>
        <w:rPr>
          <w:sz w:val="20"/>
          <w:szCs w:val="20"/>
          <w:color w:val="auto"/>
        </w:rPr>
      </w:pPr>
      <w:r>
        <w:rPr>
          <w:rFonts w:ascii="Times New Roman" w:cs="Times New Roman" w:eastAsia="Times New Roman" w:hAnsi="Times New Roman"/>
          <w:sz w:val="14"/>
          <w:szCs w:val="14"/>
          <w:color w:val="auto"/>
        </w:rPr>
        <w:t>offering, and the assumed public offering price. The exercise of outstanding stock options may result in further dilution of your investment. See the section titled “Dilution” below for a more detailed illustration of the dilution you may incur if you participate in this offering.</w:t>
      </w:r>
    </w:p>
    <w:p>
      <w:pPr>
        <w:spacing w:after="0" w:line="208" w:lineRule="exact"/>
        <w:rPr>
          <w:sz w:val="20"/>
          <w:szCs w:val="20"/>
          <w:color w:val="auto"/>
        </w:rPr>
      </w:pPr>
    </w:p>
    <w:p>
      <w:pPr>
        <w:ind w:left="1380" w:right="259"/>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Future sales or issuances of our common stock in the public markets, or the perception of such sales, could depress the trading price of our common stock.</w:t>
      </w:r>
    </w:p>
    <w:p>
      <w:pPr>
        <w:spacing w:after="0" w:line="41" w:lineRule="exact"/>
        <w:rPr>
          <w:sz w:val="20"/>
          <w:szCs w:val="20"/>
          <w:color w:val="auto"/>
        </w:rPr>
      </w:pPr>
    </w:p>
    <w:p>
      <w:pPr>
        <w:ind w:left="1380" w:right="279" w:firstLine="341"/>
        <w:spacing w:after="0" w:line="259" w:lineRule="auto"/>
        <w:rPr>
          <w:sz w:val="20"/>
          <w:szCs w:val="20"/>
          <w:color w:val="auto"/>
        </w:rPr>
      </w:pPr>
      <w:r>
        <w:rPr>
          <w:rFonts w:ascii="Times New Roman" w:cs="Times New Roman" w:eastAsia="Times New Roman" w:hAnsi="Times New Roman"/>
          <w:sz w:val="14"/>
          <w:szCs w:val="14"/>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of common stock we will issue under the Sales Agreement, at any one time or in total, is uncertain.</w:t>
      </w:r>
    </w:p>
    <w:p>
      <w:pPr>
        <w:spacing w:after="0" w:line="92"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an issuance notice to TD Cowen at any time throughout the term of the Sales Agreement. The number of shares of common stock that are sold by TD Cowen after delivering an issuance notice will fluctuate based on the market price of the shares of common stock during the sales period and limits we set with TD Cowen. Because the price per share of each share of common stock sold will fluctuate based on the market price of our shares of common stock during the sales period, it is not possible at this stage to predict the number of shares of common stock that will be ultimately issued.</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w:t>
      </w:r>
    </w:p>
    <w:p>
      <w:pPr>
        <w:spacing w:after="0" w:line="92" w:lineRule="exact"/>
        <w:rPr>
          <w:sz w:val="20"/>
          <w:szCs w:val="20"/>
          <w:color w:val="auto"/>
        </w:rPr>
      </w:pPr>
    </w:p>
    <w:p>
      <w:pPr>
        <w:ind w:left="1380" w:right="259" w:firstLine="341"/>
        <w:spacing w:after="0" w:line="280" w:lineRule="auto"/>
        <w:rPr>
          <w:sz w:val="20"/>
          <w:szCs w:val="20"/>
          <w:color w:val="auto"/>
        </w:rPr>
      </w:pPr>
      <w:r>
        <w:rPr>
          <w:rFonts w:ascii="Times New Roman" w:cs="Times New Roman" w:eastAsia="Times New Roman" w:hAnsi="Times New Roman"/>
          <w:sz w:val="14"/>
          <w:szCs w:val="14"/>
          <w:color w:val="auto"/>
        </w:rPr>
        <w:t>We have never paid cash dividends on our common stock and currently do not plan to pay any cash dividends in the foreseeable future. Any return to stockholders will therefore be limited to appreciation of their stock.</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92" w:lineRule="exact"/>
        <w:rPr>
          <w:sz w:val="20"/>
          <w:szCs w:val="20"/>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color w:val="auto"/>
        </w:rPr>
        <w:t>To raise additional capital, we may in the future offer additional shares of our common stock or other securities convertible into or exchangeable for our common stock at prices that may not be the same as the price per share in an offering pursuant to the Sales Agreement. We may sell shares or other securities in any other offering at a price per share that is less than the price per share paid by investors in an offering pursuant to the Sales Agreement,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26" w:lineRule="exact"/>
        <w:rPr>
          <w:sz w:val="20"/>
          <w:szCs w:val="20"/>
          <w:color w:val="auto"/>
        </w:rPr>
      </w:pPr>
    </w:p>
    <w:p>
      <w:pPr>
        <w:ind w:left="1380" w:right="439"/>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Sales of common stock offered hereby will be in “at the market offerings,” and investors who buy shares at different times will likely pay different prices.</w:t>
      </w:r>
    </w:p>
    <w:p>
      <w:pPr>
        <w:spacing w:after="0" w:line="41"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the sales agent,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There are risks, including stock market volatility, inherent in owning our common stock.</w:t>
      </w:r>
    </w:p>
    <w:p>
      <w:pPr>
        <w:spacing w:after="0" w:line="92"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The market price and volume of our common stock have been, and may continue to be, subject to significant fluctuations. These fluctuations may arise from general stock market conditions, the impact of risk factors described herein, or changes in the market regarding our business, financial performance, and other factors.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All statements other than statements of historical facts contained in this prospectus, including statements regarding our future results of operations and financial condition, business strategy and plans and objectives of management for future operations, are forward-looking statements. In some cases, forward-looking statements may be identified by words such as “aim,” “anticipate,” “assume,” “believe,” “contemplate,” “continue,” “could,” “design,” “due,” “estimate,” “expect,” “goal,” “intend,” “may,” “objective,” “plan,” “positioned,” “potential,” “predict,” “seek,” “should,” “target,” “will,” “would,” or the negative of these terms or other similar expressions.</w:t>
      </w:r>
    </w:p>
    <w:p>
      <w:pPr>
        <w:spacing w:after="0" w:line="145" w:lineRule="exact"/>
        <w:rPr>
          <w:sz w:val="20"/>
          <w:szCs w:val="20"/>
          <w:color w:val="auto"/>
        </w:rPr>
      </w:pPr>
    </w:p>
    <w:p>
      <w:pPr>
        <w:ind w:left="1380" w:right="319" w:firstLine="341"/>
        <w:spacing w:after="0" w:line="254"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and in our most recent Annual Report on Form 10-K,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Forward-looking statements may include, but are not limited to, statements about:</w:t>
      </w:r>
    </w:p>
    <w:p>
      <w:pPr>
        <w:spacing w:after="0" w:line="72" w:lineRule="exact"/>
        <w:rPr>
          <w:sz w:val="20"/>
          <w:szCs w:val="20"/>
          <w:color w:val="auto"/>
        </w:rPr>
      </w:pPr>
    </w:p>
    <w:p>
      <w:pPr>
        <w:ind w:left="2140" w:right="339" w:hanging="343"/>
        <w:spacing w:after="0" w:line="28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market size and size of the potential patient populations for our product candidates and any future product candidates, if approved for commercial use;</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and regulatory development plans;</w:t>
      </w:r>
    </w:p>
    <w:p>
      <w:pPr>
        <w:spacing w:after="0" w:line="100"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regard to the results of our clinical studies, preclinical studies and research and development programs, including the timing and availability of data from such studies;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commencement of future nonclinical studies and clinical trials and research and development programs;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discover, develop and advance product candidates into, and successfully complete, clinical trials;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and our ability to establish collaborations and/or partnerships;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 for our product candidates;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expectations;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with respect to the commercialization of our product candidates;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0" w:lineRule="exact"/>
        <w:rPr>
          <w:rFonts w:ascii="Times New Roman" w:cs="Times New Roman" w:eastAsia="Times New Roman" w:hAnsi="Times New Roman"/>
          <w:sz w:val="14"/>
          <w:szCs w:val="14"/>
          <w:color w:val="auto"/>
        </w:rPr>
      </w:pPr>
    </w:p>
    <w:p>
      <w:pPr>
        <w:ind w:left="2140" w:right="339" w:hanging="343"/>
        <w:spacing w:after="0" w:line="28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 including additional indications for which we may pursue;</w:t>
      </w:r>
    </w:p>
    <w:p>
      <w:pPr>
        <w:spacing w:after="0" w:line="53" w:lineRule="exact"/>
        <w:rPr>
          <w:rFonts w:ascii="Times New Roman" w:cs="Times New Roman" w:eastAsia="Times New Roman" w:hAnsi="Times New Roman"/>
          <w:sz w:val="14"/>
          <w:szCs w:val="14"/>
          <w:color w:val="auto"/>
        </w:rPr>
      </w:pPr>
    </w:p>
    <w:p>
      <w:pPr>
        <w:ind w:left="2140" w:right="319" w:hanging="343"/>
        <w:spacing w:after="0" w:line="28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including the projected terms of patent protection;</w:t>
      </w:r>
    </w:p>
    <w:p>
      <w:pPr>
        <w:spacing w:after="0" w:line="53" w:lineRule="exact"/>
        <w:rPr>
          <w:rFonts w:ascii="Times New Roman" w:cs="Times New Roman" w:eastAsia="Times New Roman" w:hAnsi="Times New Roman"/>
          <w:sz w:val="14"/>
          <w:szCs w:val="14"/>
          <w:color w:val="auto"/>
        </w:rPr>
      </w:pPr>
    </w:p>
    <w:p>
      <w:pPr>
        <w:ind w:left="2140" w:right="599" w:hanging="343"/>
        <w:spacing w:after="0" w:line="28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expenses, future revenue, capital requirements, our needs for additional financing and our ability to obtain additional capital;</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intended use of proceeds from this offering and our existing cash, cash equivalents and marketable securities;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future sales of our common stock under our at-the-market offering program;</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or operating performance;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and our industry, including competing products.</w:t>
      </w:r>
    </w:p>
    <w:p>
      <w:pPr>
        <w:spacing w:after="0" w:line="174"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These risks are not exhaustive. Other sections of this prospectus may include additional factors that could harm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such factors on our business or the extent to which any such factor, or combination of such factors, may cause actual results to differ from those contained in, or implied by, any forward-looking statements.</w:t>
      </w:r>
    </w:p>
    <w:p>
      <w:pPr>
        <w:spacing w:after="0" w:line="142" w:lineRule="exact"/>
        <w:rPr>
          <w:sz w:val="20"/>
          <w:szCs w:val="20"/>
          <w:color w:val="auto"/>
        </w:rPr>
      </w:pPr>
    </w:p>
    <w:p>
      <w:pPr>
        <w:jc w:val="both"/>
        <w:ind w:left="1380" w:right="419" w:firstLine="341"/>
        <w:spacing w:after="0" w:line="259"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41"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In addition, statements containing the words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42" w:lineRule="exact"/>
        <w:rPr>
          <w:sz w:val="20"/>
          <w:szCs w:val="20"/>
          <w:color w:val="auto"/>
        </w:rPr>
      </w:pPr>
    </w:p>
    <w:p>
      <w:pPr>
        <w:ind w:left="1380" w:right="459" w:firstLine="341"/>
        <w:spacing w:after="0" w:line="259"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we have filed with the SEC that are incorporated by reference herein and therein and any free writing prospectuses that we may authorize for use in connection with a specific offering completely and with the understanding that our actual future results, levels of activity, performance and achievements may be different from what we expect. We qualify all of our forward-looking statements by these cautionary statements.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ind w:left="1380" w:right="319" w:firstLine="341"/>
        <w:spacing w:after="0" w:line="259" w:lineRule="auto"/>
        <w:rPr>
          <w:sz w:val="20"/>
          <w:szCs w:val="20"/>
          <w:color w:val="auto"/>
        </w:rPr>
      </w:pPr>
      <w:r>
        <w:rPr>
          <w:rFonts w:ascii="Times New Roman" w:cs="Times New Roman" w:eastAsia="Times New Roman" w:hAnsi="Times New Roman"/>
          <w:sz w:val="14"/>
          <w:szCs w:val="14"/>
          <w:color w:val="auto"/>
        </w:rPr>
        <w:t>We may issue and sell shares of our common stock having aggregate gross sales proceeds of up to $150,000,000 from time to time. Because there is no minimum offering amount required pursuant to the Sales Agreement, with TD Cowen,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Sales Agreement as a source of financing.</w:t>
      </w:r>
    </w:p>
    <w:p>
      <w:pPr>
        <w:spacing w:after="0" w:line="141" w:lineRule="exact"/>
        <w:rPr>
          <w:sz w:val="20"/>
          <w:szCs w:val="20"/>
          <w:color w:val="auto"/>
        </w:rPr>
      </w:pPr>
    </w:p>
    <w:p>
      <w:pPr>
        <w:ind w:left="1380" w:right="299" w:firstLine="341"/>
        <w:spacing w:after="0" w:line="280" w:lineRule="auto"/>
        <w:rPr>
          <w:sz w:val="20"/>
          <w:szCs w:val="20"/>
          <w:color w:val="auto"/>
        </w:rPr>
      </w:pPr>
      <w:r>
        <w:rPr>
          <w:rFonts w:ascii="Times New Roman" w:cs="Times New Roman" w:eastAsia="Times New Roman" w:hAnsi="Times New Roman"/>
          <w:sz w:val="14"/>
          <w:szCs w:val="14"/>
          <w:color w:val="auto"/>
        </w:rPr>
        <w:t>We intend to use any net proceeds from the sale of the common stock offered by us hereunder for working capital and general corporate purposes, including research and development expenses, general and administrative expenses and capital expenditures.</w:t>
      </w:r>
    </w:p>
    <w:p>
      <w:pPr>
        <w:spacing w:after="0" w:line="126" w:lineRule="exact"/>
        <w:rPr>
          <w:sz w:val="20"/>
          <w:szCs w:val="20"/>
          <w:color w:val="auto"/>
        </w:rPr>
      </w:pPr>
    </w:p>
    <w:p>
      <w:pPr>
        <w:ind w:left="1380" w:right="319" w:firstLine="341"/>
        <w:spacing w:after="0" w:line="254" w:lineRule="auto"/>
        <w:rPr>
          <w:sz w:val="20"/>
          <w:szCs w:val="20"/>
          <w:color w:val="auto"/>
        </w:rPr>
      </w:pPr>
      <w:r>
        <w:rPr>
          <w:rFonts w:ascii="Times New Roman" w:cs="Times New Roman" w:eastAsia="Times New Roman" w:hAnsi="Times New Roman"/>
          <w:sz w:val="14"/>
          <w:szCs w:val="14"/>
          <w:color w:val="auto"/>
        </w:rPr>
        <w:t>The amounts and timing of our expected use of the net proceeds from this offering represents our intentions based upon our current plans and business conditions, which could change in the future as our plans and business conditions evolve. Use of any net proceeds from this offering will depend on a number of factors, such as the timing and progress of our research and development efforts, the timing and progress of any partnering efforts, technological advances and the competitive environment for our products. As of the date of this prospectus, we cannot specify with certainty all of the particular uses for the net proceeds to us from the sale of the securities offered by us hereunder. Accordingly, our management will have broad discretion in the application of the net proceeds and investors will be relying upon the judgment of our management regarding the application of these proceeds. We reserve the right to change the use of these proceeds.</w:t>
      </w:r>
    </w:p>
    <w:p>
      <w:pPr>
        <w:spacing w:after="0" w:line="146" w:lineRule="exact"/>
        <w:rPr>
          <w:sz w:val="20"/>
          <w:szCs w:val="20"/>
          <w:color w:val="auto"/>
        </w:rPr>
      </w:pPr>
    </w:p>
    <w:p>
      <w:pPr>
        <w:ind w:left="1380" w:right="879" w:firstLine="341"/>
        <w:spacing w:after="0" w:line="280" w:lineRule="auto"/>
        <w:rPr>
          <w:sz w:val="20"/>
          <w:szCs w:val="20"/>
          <w:color w:val="auto"/>
        </w:rPr>
      </w:pPr>
      <w:r>
        <w:rPr>
          <w:rFonts w:ascii="Times New Roman" w:cs="Times New Roman" w:eastAsia="Times New Roman" w:hAnsi="Times New Roman"/>
          <w:sz w:val="14"/>
          <w:szCs w:val="14"/>
          <w:color w:val="auto"/>
        </w:rPr>
        <w:t>Pending application of any net proceeds as described above, we intend to temporarily invest the proceeds in short-term, interest-bearing instruments.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6" w:lineRule="exact"/>
        <w:rPr>
          <w:sz w:val="20"/>
          <w:szCs w:val="20"/>
          <w:color w:val="auto"/>
        </w:rPr>
      </w:pPr>
    </w:p>
    <w:p>
      <w:pPr>
        <w:jc w:val="both"/>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an offering and the as adjusted net tangible book value per share of our common stock immediately after giving effect to such an offering.</w:t>
      </w:r>
    </w:p>
    <w:p>
      <w:pPr>
        <w:spacing w:after="0" w:line="136" w:lineRule="exact"/>
        <w:rPr>
          <w:sz w:val="20"/>
          <w:szCs w:val="20"/>
          <w:color w:val="auto"/>
        </w:rPr>
      </w:pPr>
    </w:p>
    <w:p>
      <w:pPr>
        <w:jc w:val="both"/>
        <w:ind w:left="1380" w:right="579" w:firstLine="341"/>
        <w:spacing w:after="0" w:line="265" w:lineRule="auto"/>
        <w:rPr>
          <w:sz w:val="20"/>
          <w:szCs w:val="20"/>
          <w:color w:val="auto"/>
        </w:rPr>
      </w:pPr>
      <w:r>
        <w:rPr>
          <w:rFonts w:ascii="Times New Roman" w:cs="Times New Roman" w:eastAsia="Times New Roman" w:hAnsi="Times New Roman"/>
          <w:sz w:val="14"/>
          <w:szCs w:val="14"/>
          <w:color w:val="auto"/>
        </w:rPr>
        <w:t>Our net tangible book value as of December 31, 2025, was approximately $211.6 million, or $1.42 per share. Net tangible book value is total assets minus the sum of liabilities and intangible assets. Net tangible book value per share is net tangible book value divided by the total number of shares of common stock outstanding as of December 31, 2025.</w:t>
      </w:r>
    </w:p>
    <w:p>
      <w:pPr>
        <w:spacing w:after="0" w:line="136"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After giving effect to the sale of up to 30,000,000 shares of our common stock in an offering pursuant to the Sales Agreement at an assumed public offering price of $5.00 per share, the last reported sale price of our common stock on the Nasdaq Global Select Market on March 27, 2026, and after deducting commissions and estimated offering expenses payable by us, our as adjusted net tangible book value as of December 31, 2025 would have been approximately $356.6 million, or $1.99 per share of common stock. This represents an immediate increase in net tangible book value of $0.57 per share to existing stockholders and immediate dilution of $3.01 per share to investors purchasing our common stock in such an offering at the assumed public offering price. The following table illustrates this per share dilution:</w:t>
      </w:r>
    </w:p>
    <w:p>
      <w:pPr>
        <w:spacing w:after="0" w:line="180" w:lineRule="exact"/>
        <w:rPr>
          <w:sz w:val="20"/>
          <w:szCs w:val="20"/>
          <w:color w:val="auto"/>
        </w:rPr>
      </w:pPr>
    </w:p>
    <w:tbl>
      <w:tblPr>
        <w:tblLayout w:type="fixed"/>
        <w:tblInd w:w="24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offering price per share</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December 31, 2025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new investors in offering</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0.57</w:t>
            </w: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As adjusted net tangible book value per share as of December 31, 2025, after giving effect</w:t>
            </w: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this offering</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purchasing shares in this offering</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The shares subject to the Sales Agreement and are being sold from time to time at various prices. Each $0.50 increase in the assumed public offering price of $5.00 per share, assuming all of our common stock in the aggregate amount of $150,000,000 during the term of the Sales Agreement is sold at that price, would increase the dilution per share to new investors by approximately $0.47 per share, after deducting the commissions and estimated offering expenses payable by us. Each $0.50 decrease in the assumed public offering price of $5.00 per share, assuming all of our common stock in the aggregate amount of $150,000,000 during the term of the Sales Agreement is sold at that price, would decrease the dilution per share to new investors by approximately $0.46 per share, after deducting the commissions and estimated offering expenses payable by us. The information discussed above is illustrative only and will adjust based on the actual offering prices and the actual number of shares issue and sold pursuant to the Sales Agreement.</w:t>
      </w:r>
    </w:p>
    <w:p>
      <w:pPr>
        <w:spacing w:after="0" w:line="14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above discussion and table are based on 149,362,800 shares of common stock outstanding as of December 31, 2025, and excludes:</w:t>
      </w:r>
    </w:p>
    <w:p>
      <w:pPr>
        <w:spacing w:after="0" w:line="100" w:lineRule="exact"/>
        <w:rPr>
          <w:sz w:val="20"/>
          <w:szCs w:val="20"/>
          <w:color w:val="auto"/>
        </w:rPr>
      </w:pPr>
    </w:p>
    <w:p>
      <w:pPr>
        <w:ind w:left="2140" w:right="479" w:hanging="343"/>
        <w:spacing w:after="0" w:line="280"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18,645,325 shares of common stock issuable upon the exercise of stock options outstanding as of December 31, 2025, with a weighted-average exercise price of $6.69 per share;</w:t>
      </w:r>
    </w:p>
    <w:p>
      <w:pPr>
        <w:spacing w:after="0" w:line="53" w:lineRule="exact"/>
        <w:rPr>
          <w:rFonts w:ascii="Times New Roman" w:cs="Times New Roman" w:eastAsia="Times New Roman" w:hAnsi="Times New Roman"/>
          <w:sz w:val="14"/>
          <w:szCs w:val="14"/>
          <w:color w:val="auto"/>
        </w:rPr>
      </w:pPr>
    </w:p>
    <w:p>
      <w:pPr>
        <w:ind w:left="2140" w:right="319" w:hanging="343"/>
        <w:spacing w:after="0" w:line="280"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4,199,313 shares of common stock issuable upon the exercise of stock options granted subsequent to December 31, 2025, with a weighted average exercise price of $5.26 per share;</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1,252,847 shares of common stock underlying restricted stock units outstanding as of December 31, 2025;</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1,855,563 shares of common stock underlying restricted stock units granted subsequent to December 31, 2025;</w:t>
      </w:r>
    </w:p>
    <w:p>
      <w:pPr>
        <w:spacing w:after="0" w:line="100" w:lineRule="exact"/>
        <w:rPr>
          <w:rFonts w:ascii="Times New Roman" w:cs="Times New Roman" w:eastAsia="Times New Roman" w:hAnsi="Times New Roman"/>
          <w:sz w:val="14"/>
          <w:szCs w:val="14"/>
          <w:color w:val="auto"/>
        </w:rPr>
      </w:pPr>
    </w:p>
    <w:p>
      <w:pPr>
        <w:ind w:left="2140" w:right="679" w:hanging="343"/>
        <w:spacing w:after="0" w:line="280"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42,293,577 shares of common stock issuable upon the exercise of pre-funded warrants outstanding as of December 31, 2025, with a weighted average exercise price of $0.001 per share;</w:t>
      </w:r>
    </w:p>
    <w:p>
      <w:pPr>
        <w:spacing w:after="0" w:line="53" w:lineRule="exact"/>
        <w:rPr>
          <w:rFonts w:ascii="Times New Roman" w:cs="Times New Roman" w:eastAsia="Times New Roman" w:hAnsi="Times New Roman"/>
          <w:sz w:val="14"/>
          <w:szCs w:val="14"/>
          <w:color w:val="auto"/>
        </w:rPr>
      </w:pPr>
    </w:p>
    <w:p>
      <w:pPr>
        <w:ind w:left="2140" w:right="319" w:hanging="343"/>
        <w:spacing w:after="0" w:line="280"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6,877,622 shares of common stock issuable upon the exercise of common warrants outstanding as of December 31, 2025, with a weighted average exercise price of $5.81 per share;</w:t>
      </w:r>
    </w:p>
    <w:p>
      <w:pPr>
        <w:spacing w:after="0" w:line="53" w:lineRule="exact"/>
        <w:rPr>
          <w:rFonts w:ascii="Times New Roman" w:cs="Times New Roman" w:eastAsia="Times New Roman" w:hAnsi="Times New Roman"/>
          <w:sz w:val="14"/>
          <w:szCs w:val="14"/>
          <w:color w:val="auto"/>
        </w:rPr>
      </w:pPr>
    </w:p>
    <w:p>
      <w:pPr>
        <w:ind w:left="2140" w:right="979" w:hanging="343"/>
        <w:spacing w:after="0" w:line="280"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an aggregate of 1,184,877 shares of common stock available for future grant under our 2020 Equity Incentive Plan, as of December 31, 2025;</w:t>
      </w:r>
    </w:p>
    <w:p>
      <w:pPr>
        <w:spacing w:after="0" w:line="53"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an aggregate of 3,585,793 shares of common stock available for future grant under our 2022 Employment Inducement Award Plan as of December 31, 2025; and</w:t>
      </w:r>
    </w:p>
    <w:p>
      <w:pPr>
        <w:spacing w:after="0" w:line="53" w:lineRule="exact"/>
        <w:rPr>
          <w:rFonts w:ascii="Times New Roman" w:cs="Times New Roman" w:eastAsia="Times New Roman" w:hAnsi="Times New Roman"/>
          <w:sz w:val="14"/>
          <w:szCs w:val="14"/>
          <w:color w:val="auto"/>
        </w:rPr>
      </w:pPr>
    </w:p>
    <w:p>
      <w:pPr>
        <w:ind w:left="2140" w:right="499" w:hanging="343"/>
        <w:spacing w:after="0" w:line="280"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an aggregate of 2,800,550 shares of common stock available for future grant under our 2020 Employee Stock Purchase Plan as of December 31, 2025.</w:t>
      </w:r>
    </w:p>
    <w:p>
      <w:pPr>
        <w:spacing w:after="0" w:line="126"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To the extent that options outstanding as of December 31, 2025, have been or are exercised, or restricted stock units vest or other shares are issued, investors purchasing shares in an offering pursuant to the Sales Agreement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investors in an offering pursuant to the Sales Agreement.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6" w:lineRule="exact"/>
        <w:rPr>
          <w:sz w:val="20"/>
          <w:szCs w:val="20"/>
          <w:color w:val="auto"/>
        </w:rPr>
      </w:pPr>
    </w:p>
    <w:p>
      <w:pPr>
        <w:ind w:left="1380" w:right="299" w:firstLine="341"/>
        <w:spacing w:after="0" w:line="255" w:lineRule="auto"/>
        <w:rPr>
          <w:sz w:val="20"/>
          <w:szCs w:val="20"/>
          <w:color w:val="auto"/>
        </w:rPr>
      </w:pPr>
      <w:r>
        <w:rPr>
          <w:rFonts w:ascii="Times New Roman" w:cs="Times New Roman" w:eastAsia="Times New Roman" w:hAnsi="Times New Roman"/>
          <w:sz w:val="14"/>
          <w:szCs w:val="14"/>
          <w:color w:val="auto"/>
        </w:rPr>
        <w:t>We have entered into the Sales Agreement with TD Cowen, dated March 30, 2026, under which we may issue and sell from time to time up to $150,000,000 of our common stock through or to TD Cowen acting as our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the Nasdaq Global Select Market or on any other existing trading market for our common stock, or by any other method permitted by law. Sales pursuant to the Sales Agreement may be made through an affiliate of TD Cowen. If authorized by us in writing, TD Cowen may purchase shares of our common stock as principal.</w:t>
      </w:r>
    </w:p>
    <w:p>
      <w:pPr>
        <w:spacing w:after="0" w:line="145" w:lineRule="exact"/>
        <w:rPr>
          <w:sz w:val="20"/>
          <w:szCs w:val="20"/>
          <w:color w:val="auto"/>
        </w:rPr>
      </w:pPr>
    </w:p>
    <w:p>
      <w:pPr>
        <w:ind w:left="1380" w:right="319" w:firstLine="341"/>
        <w:spacing w:after="0" w:line="277" w:lineRule="auto"/>
        <w:rPr>
          <w:sz w:val="20"/>
          <w:szCs w:val="20"/>
          <w:color w:val="auto"/>
        </w:rPr>
      </w:pPr>
      <w:r>
        <w:rPr>
          <w:rFonts w:ascii="Times New Roman" w:cs="Times New Roman" w:eastAsia="Times New Roman" w:hAnsi="Times New Roman"/>
          <w:sz w:val="13"/>
          <w:szCs w:val="13"/>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30"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The aggregate compensation payable to TD Cowen as sales agent equals up to 3.0% of the gross sales price of the shares sold through it pursuant to the Sales Agreement. We have also agreed to reimburse TD Cowen up to $110,000 of TD Cowen’s actual outside legal expenses incurred by TD Cowen in connection with the execution of the Sales Agreement, in addition to certain ongoing disbursements of its legal counsel payable in the amount of $25,000 each time the Company is required to issue a bringdown certificate pursuant to Sales Agreement. We estimate that the total expenses of the offering payable by us, excluding commissions payable to TD Cowen under the Sales Agreement, will be approximately $400,000.</w:t>
      </w:r>
    </w:p>
    <w:p>
      <w:pPr>
        <w:spacing w:after="0" w:line="142" w:lineRule="exact"/>
        <w:rPr>
          <w:sz w:val="20"/>
          <w:szCs w:val="20"/>
          <w:color w:val="auto"/>
        </w:rPr>
      </w:pPr>
    </w:p>
    <w:p>
      <w:pPr>
        <w:ind w:left="1380" w:right="379" w:firstLine="341"/>
        <w:spacing w:after="0" w:line="280" w:lineRule="auto"/>
        <w:rPr>
          <w:sz w:val="20"/>
          <w:szCs w:val="20"/>
          <w:color w:val="auto"/>
        </w:rPr>
      </w:pPr>
      <w:r>
        <w:rPr>
          <w:rFonts w:ascii="Times New Roman" w:cs="Times New Roman" w:eastAsia="Times New Roman" w:hAnsi="Times New Roman"/>
          <w:sz w:val="14"/>
          <w:szCs w:val="14"/>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26" w:lineRule="exact"/>
        <w:rPr>
          <w:sz w:val="20"/>
          <w:szCs w:val="20"/>
          <w:color w:val="auto"/>
        </w:rPr>
      </w:pPr>
    </w:p>
    <w:p>
      <w:pPr>
        <w:ind w:left="1380" w:right="379" w:firstLine="341"/>
        <w:spacing w:after="0" w:line="259" w:lineRule="auto"/>
        <w:rPr>
          <w:sz w:val="20"/>
          <w:szCs w:val="20"/>
          <w:color w:val="auto"/>
        </w:rPr>
      </w:pPr>
      <w:r>
        <w:rPr>
          <w:rFonts w:ascii="Times New Roman" w:cs="Times New Roman" w:eastAsia="Times New Roman" w:hAnsi="Times New Roman"/>
          <w:sz w:val="14"/>
          <w:szCs w:val="14"/>
          <w:color w:val="auto"/>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41" w:lineRule="exact"/>
        <w:rPr>
          <w:sz w:val="20"/>
          <w:szCs w:val="20"/>
          <w:color w:val="auto"/>
        </w:rPr>
      </w:pPr>
    </w:p>
    <w:p>
      <w:pPr>
        <w:ind w:left="1380" w:right="379" w:firstLine="341"/>
        <w:spacing w:after="0" w:line="280" w:lineRule="auto"/>
        <w:rPr>
          <w:sz w:val="20"/>
          <w:szCs w:val="20"/>
          <w:color w:val="auto"/>
        </w:rPr>
      </w:pPr>
      <w:r>
        <w:rPr>
          <w:rFonts w:ascii="Times New Roman" w:cs="Times New Roman" w:eastAsia="Times New Roman" w:hAnsi="Times New Roman"/>
          <w:sz w:val="14"/>
          <w:szCs w:val="14"/>
          <w:color w:val="auto"/>
        </w:rPr>
        <w:t>We will report at least quarterly the number of shares of common stock sold through TD Cowen under the Sales Agreement and the net proceeds to us in connection with the sales of common stock.</w:t>
      </w:r>
    </w:p>
    <w:p>
      <w:pPr>
        <w:spacing w:after="0" w:line="126" w:lineRule="exact"/>
        <w:rPr>
          <w:sz w:val="20"/>
          <w:szCs w:val="20"/>
          <w:color w:val="auto"/>
        </w:rPr>
      </w:pPr>
    </w:p>
    <w:p>
      <w:pPr>
        <w:jc w:val="both"/>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36" w:lineRule="exact"/>
        <w:rPr>
          <w:sz w:val="20"/>
          <w:szCs w:val="20"/>
          <w:color w:val="auto"/>
        </w:rPr>
      </w:pPr>
    </w:p>
    <w:p>
      <w:pPr>
        <w:ind w:left="1380" w:right="439" w:firstLine="341"/>
        <w:spacing w:after="0" w:line="259" w:lineRule="auto"/>
        <w:rPr>
          <w:sz w:val="20"/>
          <w:szCs w:val="20"/>
          <w:color w:val="auto"/>
        </w:rPr>
      </w:pPr>
      <w:r>
        <w:rPr>
          <w:rFonts w:ascii="Times New Roman" w:cs="Times New Roman" w:eastAsia="Times New Roman" w:hAnsi="Times New Roman"/>
          <w:sz w:val="14"/>
          <w:szCs w:val="14"/>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 that stabilizes our common stock.</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379" w:firstLine="341"/>
        <w:spacing w:after="0" w:line="280"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and trades under the symbol “ANNX.” The transfer agent of our common stock is Computershare Trust Company, N.A.</w:t>
      </w:r>
    </w:p>
    <w:p>
      <w:pPr>
        <w:spacing w:after="0" w:line="126" w:lineRule="exact"/>
        <w:rPr>
          <w:sz w:val="20"/>
          <w:szCs w:val="20"/>
          <w:color w:val="auto"/>
        </w:rPr>
      </w:pPr>
    </w:p>
    <w:p>
      <w:pPr>
        <w:ind w:left="1380" w:right="479" w:firstLine="341"/>
        <w:spacing w:after="0" w:line="280" w:lineRule="auto"/>
        <w:rPr>
          <w:sz w:val="20"/>
          <w:szCs w:val="20"/>
          <w:color w:val="auto"/>
        </w:rPr>
      </w:pPr>
      <w:r>
        <w:rPr>
          <w:rFonts w:ascii="Times New Roman" w:cs="Times New Roman" w:eastAsia="Times New Roman" w:hAnsi="Times New Roman"/>
          <w:sz w:val="14"/>
          <w:szCs w:val="14"/>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ind w:left="1380" w:right="479" w:firstLine="341"/>
        <w:spacing w:after="0" w:line="280" w:lineRule="auto"/>
        <w:rPr>
          <w:sz w:val="20"/>
          <w:szCs w:val="20"/>
          <w:color w:val="auto"/>
        </w:rPr>
      </w:pPr>
      <w:r>
        <w:rPr>
          <w:rFonts w:ascii="Times New Roman" w:cs="Times New Roman" w:eastAsia="Times New Roman" w:hAnsi="Times New Roman"/>
          <w:sz w:val="14"/>
          <w:szCs w:val="14"/>
          <w:color w:val="auto"/>
        </w:rPr>
        <w:t>Cooley LLP has passed upon the validity of the shares of our common stock offered hereby. TD Securities (USA) LLC is being represented by Latham &amp; Watkins LLP in connection with the offering.</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jc w:val="both"/>
        <w:ind w:left="1380" w:right="279" w:firstLine="341"/>
        <w:spacing w:after="0" w:line="294" w:lineRule="auto"/>
        <w:rPr>
          <w:sz w:val="20"/>
          <w:szCs w:val="20"/>
          <w:color w:val="auto"/>
        </w:rPr>
      </w:pPr>
      <w:r>
        <w:rPr>
          <w:rFonts w:ascii="Times New Roman" w:cs="Times New Roman" w:eastAsia="Times New Roman" w:hAnsi="Times New Roman"/>
          <w:sz w:val="13"/>
          <w:szCs w:val="13"/>
          <w:color w:val="auto"/>
        </w:rPr>
        <w:t>The consolidated financial statements of Annexon,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the authority of such firm as experts in accounting and auditing.</w:t>
      </w: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ind w:left="1380" w:right="299" w:firstLine="341"/>
        <w:spacing w:after="0" w:line="274" w:lineRule="auto"/>
        <w:rPr>
          <w:sz w:val="20"/>
          <w:szCs w:val="20"/>
          <w:color w:val="auto"/>
        </w:rPr>
      </w:pPr>
      <w:r>
        <w:rPr>
          <w:rFonts w:ascii="Times New Roman" w:cs="Times New Roman" w:eastAsia="Times New Roman" w:hAnsi="Times New Roman"/>
          <w:sz w:val="13"/>
          <w:szCs w:val="13"/>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3"/>
          <w:szCs w:val="13"/>
          <w:u w:val="single" w:color="auto"/>
          <w:color w:val="auto"/>
        </w:rPr>
        <w:t>http://www.sec.gov</w:t>
      </w:r>
      <w:r>
        <w:rPr>
          <w:rFonts w:ascii="Times New Roman" w:cs="Times New Roman" w:eastAsia="Times New Roman" w:hAnsi="Times New Roman"/>
          <w:sz w:val="13"/>
          <w:szCs w:val="13"/>
          <w:color w:val="auto"/>
        </w:rPr>
        <w:t>. We maintain a website at www.annexonbio.com. The information contained in, or that can be accessed through, our website is not part of this prospectus.</w:t>
      </w:r>
    </w:p>
    <w:p>
      <w:pPr>
        <w:spacing w:after="0" w:line="2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6" w:lineRule="exact"/>
        <w:rPr>
          <w:sz w:val="20"/>
          <w:szCs w:val="20"/>
          <w:color w:val="auto"/>
        </w:rPr>
      </w:pPr>
    </w:p>
    <w:p>
      <w:pPr>
        <w:ind w:left="1380" w:right="279" w:firstLine="341"/>
        <w:spacing w:after="0" w:line="272" w:lineRule="auto"/>
        <w:rPr>
          <w:sz w:val="20"/>
          <w:szCs w:val="20"/>
          <w:color w:val="auto"/>
        </w:rPr>
      </w:pPr>
      <w:r>
        <w:rPr>
          <w:rFonts w:ascii="Times New Roman" w:cs="Times New Roman" w:eastAsia="Times New Roman" w:hAnsi="Times New Roman"/>
          <w:sz w:val="13"/>
          <w:szCs w:val="13"/>
          <w:color w:val="auto"/>
        </w:rPr>
        <w:t>The SEC allows us to incorporate by reference information into this prospectus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and any future filings made by us with the SEC (other than Current Reports or portions thereof furnished under Item 2.02 or Item</w:t>
      </w:r>
    </w:p>
    <w:p>
      <w:pPr>
        <w:spacing w:after="0" w:line="2" w:lineRule="exact"/>
        <w:rPr>
          <w:sz w:val="20"/>
          <w:szCs w:val="20"/>
          <w:color w:val="auto"/>
        </w:rPr>
      </w:pPr>
    </w:p>
    <w:p>
      <w:pPr>
        <w:ind w:left="1380" w:right="359"/>
        <w:spacing w:after="0" w:line="278" w:lineRule="auto"/>
        <w:rPr>
          <w:sz w:val="20"/>
          <w:szCs w:val="20"/>
          <w:color w:val="auto"/>
        </w:rPr>
      </w:pPr>
      <w:r>
        <w:rPr>
          <w:rFonts w:ascii="Times New Roman" w:cs="Times New Roman" w:eastAsia="Times New Roman" w:hAnsi="Times New Roman"/>
          <w:sz w:val="13"/>
          <w:szCs w:val="13"/>
          <w:color w:val="auto"/>
        </w:rPr>
        <w:t>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(ii) after the effectiveness of the registration statement but prior to the termination of all offerings of securities covered by this prospectus:</w:t>
      </w:r>
    </w:p>
    <w:p>
      <w:pPr>
        <w:spacing w:after="0" w:line="56" w:lineRule="exact"/>
        <w:rPr>
          <w:sz w:val="20"/>
          <w:szCs w:val="20"/>
          <w:color w:val="auto"/>
        </w:rPr>
      </w:pPr>
    </w:p>
    <w:p>
      <w:pPr>
        <w:ind w:left="5520" w:right="1739" w:hanging="3723"/>
        <w:spacing w:after="0" w:line="452" w:lineRule="auto"/>
        <w:tabs>
          <w:tab w:leader="none" w:pos="213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w:t>
      </w:r>
      <w:hyperlink r:id="rId70">
        <w:r>
          <w:rPr>
            <w:rFonts w:ascii="Times New Roman" w:cs="Times New Roman" w:eastAsia="Times New Roman" w:hAnsi="Times New Roman"/>
            <w:sz w:val="14"/>
            <w:szCs w:val="14"/>
            <w:u w:val="single" w:color="auto"/>
            <w:color w:val="0000EE"/>
          </w:rPr>
          <w:t>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30, 2026; S-16</w:t>
      </w:r>
    </w:p>
    <w:p>
      <w:pPr>
        <w:sectPr>
          <w:pgSz w:w="11900" w:h="16838" w:orient="portrait"/>
          <w:cols w:equalWidth="0" w:num="1">
            <w:col w:w="10159"/>
          </w:cols>
          <w:pgMar w:left="300" w:top="38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519" w:hanging="343"/>
        <w:spacing w:after="0" w:line="280" w:lineRule="auto"/>
        <w:tabs>
          <w:tab w:leader="none" w:pos="2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72">
        <w:r>
          <w:rPr>
            <w:rFonts w:ascii="Times New Roman" w:cs="Times New Roman" w:eastAsia="Times New Roman" w:hAnsi="Times New Roman"/>
            <w:sz w:val="14"/>
            <w:szCs w:val="14"/>
            <w:u w:val="single" w:color="auto"/>
            <w:color w:val="0000EE"/>
          </w:rPr>
          <w:t>January 12,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3">
        <w:r>
          <w:rPr>
            <w:rFonts w:ascii="Times New Roman" w:cs="Times New Roman" w:eastAsia="Times New Roman" w:hAnsi="Times New Roman"/>
            <w:sz w:val="14"/>
            <w:szCs w:val="14"/>
            <w:u w:val="single" w:color="auto"/>
            <w:color w:val="0000EE"/>
          </w:rPr>
          <w:t>February 17,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(each to the extent the information in such reports is filed and not furnished); and</w:t>
      </w:r>
    </w:p>
    <w:p>
      <w:pPr>
        <w:spacing w:after="0" w:line="53" w:lineRule="exact"/>
        <w:rPr>
          <w:rFonts w:ascii="Times New Roman" w:cs="Times New Roman" w:eastAsia="Times New Roman" w:hAnsi="Times New Roman"/>
          <w:sz w:val="14"/>
          <w:szCs w:val="14"/>
          <w:color w:val="auto"/>
        </w:rPr>
      </w:pPr>
    </w:p>
    <w:p>
      <w:pPr>
        <w:jc w:val="both"/>
        <w:ind w:left="2140" w:right="339" w:hanging="343"/>
        <w:spacing w:after="0" w:line="265" w:lineRule="auto"/>
        <w:tabs>
          <w:tab w:leader="none" w:pos="2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7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dated July 21, 2020, including all amendments and reports filed for the purpose of updating such description, including the description of our common stock in </w:t>
      </w:r>
      <w:hyperlink r:id="rId75">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filed with the SEC on March 30, 2026.</w:t>
      </w:r>
    </w:p>
    <w:p>
      <w:pPr>
        <w:spacing w:after="0" w:line="136" w:lineRule="exact"/>
        <w:rPr>
          <w:rFonts w:ascii="Times New Roman" w:cs="Times New Roman" w:eastAsia="Times New Roman" w:hAnsi="Times New Roman"/>
          <w:sz w:val="14"/>
          <w:szCs w:val="14"/>
          <w:color w:val="auto"/>
        </w:rPr>
      </w:pPr>
    </w:p>
    <w:p>
      <w:pPr>
        <w:jc w:val="both"/>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36" w:lineRule="exact"/>
        <w:rPr>
          <w:rFonts w:ascii="Times New Roman" w:cs="Times New Roman" w:eastAsia="Times New Roman" w:hAnsi="Times New Roman"/>
          <w:sz w:val="14"/>
          <w:szCs w:val="14"/>
          <w:color w:val="auto"/>
        </w:rPr>
      </w:pPr>
    </w:p>
    <w:p>
      <w:pPr>
        <w:ind w:left="1380" w:right="359" w:firstLine="341"/>
        <w:spacing w:after="0" w:line="259" w:lineRule="auto"/>
        <w:rPr>
          <w:sz w:val="20"/>
          <w:szCs w:val="20"/>
          <w:color w:val="auto"/>
        </w:rPr>
      </w:pPr>
      <w:r>
        <w:rPr>
          <w:rFonts w:ascii="Times New Roman" w:cs="Times New Roman" w:eastAsia="Times New Roman" w:hAnsi="Times New Roman"/>
          <w:sz w:val="14"/>
          <w:szCs w:val="14"/>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Any such request may be made by writing or telephoning us at the following address or phone number:</w:t>
      </w:r>
    </w:p>
    <w:p>
      <w:pPr>
        <w:spacing w:after="0" w:line="14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1400 Sierra Point Parkway, Bldg C, Suite 200</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Brisbane, CA 94005</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(650) 822-5500</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06"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194310</wp:posOffset>
            </wp:positionV>
            <wp:extent cx="5417185"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417185" cy="1333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234315</wp:posOffset>
            </wp:positionV>
            <wp:extent cx="541718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1310005</wp:posOffset>
            </wp:positionV>
            <wp:extent cx="1135380" cy="3517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135380" cy="351790"/>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Up to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678180</wp:posOffset>
            </wp:positionV>
            <wp:extent cx="113538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183515</wp:posOffset>
            </wp:positionV>
            <wp:extent cx="113538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TD Cowen</w:t>
      </w:r>
    </w:p>
    <w:p>
      <w:pPr>
        <w:spacing w:after="0" w:line="18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273685</wp:posOffset>
            </wp:positionV>
            <wp:extent cx="541718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320040</wp:posOffset>
            </wp:positionV>
            <wp:extent cx="5417185"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5417185" cy="133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2" w:lineRule="exact"/>
        <w:rPr>
          <w:sz w:val="20"/>
          <w:szCs w:val="20"/>
          <w:color w:val="auto"/>
        </w:rPr>
      </w:pPr>
    </w:p>
    <w:p>
      <w:pPr>
        <w:ind w:left="1380" w:right="759" w:firstLine="341"/>
        <w:spacing w:after="0" w:line="280" w:lineRule="auto"/>
        <w:rPr>
          <w:sz w:val="20"/>
          <w:szCs w:val="20"/>
          <w:color w:val="auto"/>
        </w:rPr>
      </w:pPr>
      <w:r>
        <w:rPr>
          <w:rFonts w:ascii="Times New Roman" w:cs="Times New Roman" w:eastAsia="Times New Roman" w:hAnsi="Times New Roman"/>
          <w:sz w:val="14"/>
          <w:szCs w:val="14"/>
          <w:color w:val="auto"/>
        </w:rPr>
        <w:t>The following table sets forth an estimate of the costs and expenses, other than underwriting discounts and commissions, payable by us in connection with the offering of the securities being registered.</w:t>
      </w:r>
    </w:p>
    <w:p>
      <w:pPr>
        <w:spacing w:after="0" w:line="13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 to be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paid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Item</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 registration fee</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FINRA filing fee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Legal fees and expenses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Printing and miscellaneous fees and expenses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73025</wp:posOffset>
            </wp:positionV>
            <wp:extent cx="5905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122" w:lineRule="exact"/>
        <w:rPr>
          <w:sz w:val="20"/>
          <w:szCs w:val="20"/>
          <w:color w:val="auto"/>
        </w:rPr>
      </w:pPr>
    </w:p>
    <w:p>
      <w:pPr>
        <w:ind w:left="1720" w:right="339" w:hanging="342"/>
        <w:spacing w:after="0" w:line="260"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pursuant to Rule 456(b) and Rule 457(r) of the Securities Act, other than with respect to the $20,715 in SEC registration fees applicable to the offering of up to $150,000,000 of common stock pursuant to the sales agreement prospectus.</w:t>
      </w:r>
    </w:p>
    <w:p>
      <w:pPr>
        <w:ind w:left="1720" w:right="699" w:hanging="342"/>
        <w:spacing w:after="0" w:line="254"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As permitted by Section 102 of the Delaware General Corporation Law,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registrant or the registrant’s stockholders for monetary damages for breach of fiduciary duty as a director, except for liability for:</w:t>
      </w:r>
    </w:p>
    <w:p>
      <w:pPr>
        <w:spacing w:after="0" w:line="69" w:lineRule="exact"/>
        <w:rPr>
          <w:sz w:val="20"/>
          <w:szCs w:val="20"/>
          <w:color w:val="auto"/>
        </w:rPr>
      </w:pPr>
    </w:p>
    <w:p>
      <w:pPr>
        <w:ind w:left="2140" w:hanging="34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the registrant or the registrant’s stockholders;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related to unlawful stock repurchases, redemptions or other distributions or payment of dividends; or</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74"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These limitations of liability do not affect the availability of equitable remedies such as injunctive relief or rescission. The registrant’s amended and restated certificate of incorporation also authorizes the registrant to indemnify the registrant’s officers, directors and other agents to the fullest extent permitted under Delaware law.</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As permitted by Section 145 of the Delaware General Corporation Law, the registrant’s amended and restated bylaws provide that:</w:t>
      </w:r>
    </w:p>
    <w:p>
      <w:pPr>
        <w:spacing w:after="0" w:line="100" w:lineRule="exact"/>
        <w:rPr>
          <w:sz w:val="20"/>
          <w:szCs w:val="20"/>
          <w:color w:val="auto"/>
        </w:rPr>
      </w:pPr>
    </w:p>
    <w:p>
      <w:pPr>
        <w:ind w:left="2140" w:right="499" w:hanging="343"/>
        <w:spacing w:after="0" w:line="280" w:lineRule="auto"/>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indemnify our directors, officers and employees to the fullest extent permitted by the Delaware General Corporation Law, subject to limited exceptions;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519" w:hanging="343"/>
        <w:spacing w:after="0" w:line="280" w:lineRule="auto"/>
        <w:tabs>
          <w:tab w:leader="none" w:pos="2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advance expenses to our directors, officers and employees in connection with a legal proceeding to the fullest extent permitted by the Delaware General Corporation Law, subject to limited exceptions; and</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our amended and restated bylaws are not exclusive.</w:t>
      </w:r>
    </w:p>
    <w:p>
      <w:pPr>
        <w:spacing w:after="0" w:line="174"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The registrant’s amended and restated certificate of incorporation and the registrant’s amended and restated bylaws provide for the indemnification provisions described above and elsewhere herein. The registrant has entered or will enter into, and intend to continue to enter into, separate indemnification agreements with the registrant’s directors and officers that may be broader than the specific indemnification provisions contained in the Delaware General Corporation Law. These indemnification agreements generally require the registrant, among other things, to indemnify the registrant’s officers and directors against certain liabilities that may arise by reason of their status or service as directors or officers, other than liabilities arising from willful misconduct. These indemnification agreements also generally require the registrant to advance any expenses incurred by the directors or officers as a result of any proceeding against them as to which they could be indemnified. These indemnification provisions and the indemnification agreements may be sufficiently broad to permit indemnification of the registrant’s officers and directors for liabilities, including reimbursement of expenses incurred, arising under the Securities Act of 1933, as amended, or the Securities Act.</w:t>
      </w:r>
    </w:p>
    <w:p>
      <w:pPr>
        <w:spacing w:after="0" w:line="145" w:lineRule="exact"/>
        <w:rPr>
          <w:sz w:val="20"/>
          <w:szCs w:val="20"/>
          <w:color w:val="auto"/>
        </w:rPr>
      </w:pPr>
    </w:p>
    <w:p>
      <w:pPr>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36" w:lineRule="exact"/>
        <w:rPr>
          <w:sz w:val="20"/>
          <w:szCs w:val="20"/>
          <w:color w:val="auto"/>
        </w:rPr>
      </w:pPr>
    </w:p>
    <w:p>
      <w:pPr>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The underwriting agreement between the registrant and the underwriters to be filed as Exhibit 1.1 to this registration statement provides for the indemnification by the underwriters of the registrant and the registrant’s officers and directors who sign this registration statement for specified liabilities, including matters arising under the Securities Act.</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 Exhibits</w:t>
      </w:r>
    </w:p>
    <w:p>
      <w:pPr>
        <w:spacing w:after="0" w:line="190"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1"/>
          <w:szCs w:val="11"/>
          <w:b w:val="1"/>
          <w:bCs w:val="1"/>
          <w:color w:val="auto"/>
        </w:rPr>
        <w:t>Incorporated by Reference to Filings</w:t>
      </w:r>
    </w:p>
    <w:p>
      <w:pPr>
        <w:jc w:val="center"/>
        <w:ind w:left="4880"/>
        <w:spacing w:after="0" w:line="232" w:lineRule="auto"/>
        <w:rPr>
          <w:sz w:val="20"/>
          <w:szCs w:val="20"/>
          <w:color w:val="auto"/>
        </w:rPr>
      </w:pPr>
      <w:r>
        <w:rPr>
          <w:rFonts w:ascii="Times New Roman" w:cs="Times New Roman" w:eastAsia="Times New Roman" w:hAnsi="Times New Roman"/>
          <w:sz w:val="11"/>
          <w:szCs w:val="11"/>
          <w:b w:val="1"/>
          <w:bCs w:val="1"/>
          <w:color w:val="auto"/>
        </w:rPr>
        <w:t>Indicated</w:t>
      </w:r>
    </w:p>
    <w:tbl>
      <w:tblPr>
        <w:tblLayout w:type="fixed"/>
        <w:tblInd w:w="1380" w:type="dxa"/>
        <w:tblCellMar>
          <w:top w:w="0" w:type="dxa"/>
          <w:left w:w="0" w:type="dxa"/>
          <w:bottom w:w="0" w:type="dxa"/>
          <w:right w:w="0" w:type="dxa"/>
        </w:tblCellMar>
      </w:tblPr>
      <w:tr>
        <w:trPr>
          <w:trHeight w:val="86"/>
        </w:trPr>
        <w:tc>
          <w:tcPr>
            <w:tcW w:w="720" w:type="dxa"/>
            <w:vAlign w:val="bottom"/>
            <w:gridSpan w:val="2"/>
          </w:tcPr>
          <w:p>
            <w:pPr>
              <w:jc w:val="center"/>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Exhibit</w:t>
            </w:r>
          </w:p>
        </w:tc>
        <w:tc>
          <w:tcPr>
            <w:tcW w:w="4700" w:type="dxa"/>
            <w:vAlign w:val="bottom"/>
            <w:vMerge w:val="restart"/>
          </w:tcPr>
          <w:p>
            <w:pPr>
              <w:ind w:left="188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260" w:type="dxa"/>
            <w:vAlign w:val="bottom"/>
            <w:vMerge w:val="restart"/>
          </w:tcPr>
          <w:p>
            <w:pPr>
              <w:spacing w:after="0"/>
              <w:rPr>
                <w:sz w:val="7"/>
                <w:szCs w:val="7"/>
                <w:color w:val="auto"/>
              </w:rPr>
            </w:pP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80" w:type="dxa"/>
            <w:vAlign w:val="bottom"/>
            <w:tcBorders>
              <w:top w:val="single" w:sz="8" w:color="auto"/>
            </w:tcBorders>
            <w:vMerge w:val="restart"/>
          </w:tcPr>
          <w:p>
            <w:pPr>
              <w:spacing w:after="0"/>
              <w:rPr>
                <w:sz w:val="7"/>
                <w:szCs w:val="7"/>
                <w:color w:val="auto"/>
              </w:rPr>
            </w:pPr>
          </w:p>
        </w:tc>
        <w:tc>
          <w:tcPr>
            <w:tcW w:w="5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80" w:type="dxa"/>
            <w:vAlign w:val="bottom"/>
            <w:tcBorders>
              <w:top w:val="single" w:sz="8" w:color="auto"/>
            </w:tcBorders>
            <w:vMerge w:val="restart"/>
          </w:tcPr>
          <w:p>
            <w:pPr>
              <w:spacing w:after="0"/>
              <w:rPr>
                <w:sz w:val="7"/>
                <w:szCs w:val="7"/>
                <w:color w:val="auto"/>
              </w:rPr>
            </w:pPr>
          </w:p>
        </w:tc>
        <w:tc>
          <w:tcPr>
            <w:tcW w:w="64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Filing</w:t>
            </w:r>
          </w:p>
        </w:tc>
        <w:tc>
          <w:tcPr>
            <w:tcW w:w="280" w:type="dxa"/>
            <w:vAlign w:val="bottom"/>
          </w:tcPr>
          <w:p>
            <w:pPr>
              <w:spacing w:after="0"/>
              <w:rPr>
                <w:sz w:val="7"/>
                <w:szCs w:val="7"/>
                <w:color w:val="auto"/>
              </w:rPr>
            </w:pPr>
          </w:p>
        </w:tc>
        <w:tc>
          <w:tcPr>
            <w:tcW w:w="460" w:type="dxa"/>
            <w:vAlign w:val="bottom"/>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Provided</w:t>
            </w:r>
          </w:p>
        </w:tc>
        <w:tc>
          <w:tcPr>
            <w:tcW w:w="0" w:type="dxa"/>
            <w:vAlign w:val="bottom"/>
          </w:tcPr>
          <w:p>
            <w:pPr>
              <w:spacing w:after="0"/>
              <w:rPr>
                <w:sz w:val="1"/>
                <w:szCs w:val="1"/>
                <w:color w:val="auto"/>
              </w:rPr>
            </w:pPr>
          </w:p>
        </w:tc>
      </w:tr>
      <w:tr>
        <w:trPr>
          <w:trHeight w:val="134"/>
        </w:trPr>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Pr>
          <w:p>
            <w:pPr>
              <w:spacing w:after="0"/>
              <w:rPr>
                <w:sz w:val="11"/>
                <w:szCs w:val="11"/>
                <w:color w:val="auto"/>
              </w:rPr>
            </w:pPr>
          </w:p>
        </w:tc>
        <w:tc>
          <w:tcPr>
            <w:tcW w:w="470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80" w:type="dxa"/>
            <w:vAlign w:val="bottom"/>
          </w:tcPr>
          <w:p>
            <w:pPr>
              <w:spacing w:after="0"/>
              <w:rPr>
                <w:sz w:val="11"/>
                <w:szCs w:val="11"/>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40" w:hanging="62"/>
        <w:spacing w:after="0"/>
        <w:tabs>
          <w:tab w:leader="none" w:pos="14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1.1*</w:t>
      </w:r>
      <w:r>
        <w:rPr>
          <w:rFonts w:ascii="Times New Roman" w:cs="Times New Roman" w:eastAsia="Times New Roman" w:hAnsi="Times New Roman"/>
          <w:sz w:val="14"/>
          <w:szCs w:val="14"/>
          <w:color w:val="auto"/>
        </w:rPr>
        <w:t>Form of Underwriting Agreement.</w:t>
      </w:r>
    </w:p>
    <w:p>
      <w:pPr>
        <w:spacing w:after="0" w:line="89" w:lineRule="exact"/>
        <w:rPr>
          <w:rFonts w:ascii="Times New Roman" w:cs="Times New Roman" w:eastAsia="Times New Roman" w:hAnsi="Times New Roman"/>
          <w:sz w:val="12"/>
          <w:szCs w:val="12"/>
          <w:color w:val="auto"/>
        </w:rPr>
      </w:pPr>
    </w:p>
    <w:p>
      <w:pPr>
        <w:ind w:left="1440" w:hanging="62"/>
        <w:spacing w:after="0"/>
        <w:tabs>
          <w:tab w:leader="none" w:pos="1440" w:val="left"/>
        </w:tabs>
        <w:numPr>
          <w:ilvl w:val="0"/>
          <w:numId w:val="4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2"/>
          <w:szCs w:val="12"/>
          <w:color w:val="auto"/>
        </w:rPr>
        <w:t>  1.2</w:t>
      </w:r>
      <w:hyperlink r:id="rId125">
        <w:r>
          <w:rPr>
            <w:rFonts w:ascii="Times New Roman" w:cs="Times New Roman" w:eastAsia="Times New Roman" w:hAnsi="Times New Roman"/>
            <w:sz w:val="13"/>
            <w:szCs w:val="13"/>
            <w:u w:val="single" w:color="auto"/>
            <w:color w:val="0000EE"/>
          </w:rPr>
          <w:t>Sales Agreement dated March 30, 2026, between the Registrant and TD Securities</w:t>
        </w:r>
      </w:hyperlink>
    </w:p>
    <w:p>
      <w:pPr>
        <w:spacing w:after="0" w:line="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720" w:type="dxa"/>
            <w:vAlign w:val="bottom"/>
            <w:tcBorders>
              <w:bottom w:val="single" w:sz="8" w:color="0000EE"/>
            </w:tcBorders>
          </w:tcPr>
          <w:p>
            <w:pPr>
              <w:spacing w:after="0"/>
              <w:rPr>
                <w:rFonts w:ascii="Times New Roman" w:cs="Times New Roman" w:eastAsia="Times New Roman" w:hAnsi="Times New Roman"/>
                <w:sz w:val="14"/>
                <w:szCs w:val="14"/>
                <w:color w:val="0000EE"/>
                <w:w w:val="98"/>
              </w:rPr>
            </w:pPr>
            <w:hyperlink r:id="rId125">
              <w:r>
                <w:rPr>
                  <w:rFonts w:ascii="Times New Roman" w:cs="Times New Roman" w:eastAsia="Times New Roman" w:hAnsi="Times New Roman"/>
                  <w:sz w:val="14"/>
                  <w:szCs w:val="14"/>
                  <w:color w:val="0000EE"/>
                  <w:w w:val="98"/>
                </w:rPr>
                <w:t>(USA), LLC</w:t>
              </w:r>
            </w:hyperlink>
          </w:p>
        </w:tc>
        <w:tc>
          <w:tcPr>
            <w:tcW w:w="4060" w:type="dxa"/>
            <w:vAlign w:val="bottom"/>
            <w:gridSpan w:val="5"/>
          </w:tcPr>
          <w:p>
            <w:pPr>
              <w:spacing w:after="0"/>
              <w:rPr>
                <w:sz w:val="13"/>
                <w:szCs w:val="13"/>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10-K</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10.16</w:t>
            </w: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3/30/2026</w:t>
            </w:r>
          </w:p>
        </w:tc>
      </w:tr>
      <w:tr>
        <w:trPr>
          <w:trHeight w:val="23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780" w:type="dxa"/>
            <w:vAlign w:val="bottom"/>
            <w:gridSpan w:val="6"/>
          </w:tcPr>
          <w:p>
            <w:pPr>
              <w:spacing w:after="0"/>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Amended and Restated Certificate of Incorporation.</w:t>
              </w:r>
            </w:hyperlink>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w:t>
            </w: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7/28/2020</w:t>
            </w:r>
          </w:p>
        </w:tc>
      </w:tr>
      <w:tr>
        <w:trPr>
          <w:trHeight w:val="23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2900" w:type="dxa"/>
            <w:vAlign w:val="bottom"/>
            <w:tcBorders>
              <w:top w:val="single" w:sz="8" w:color="0000EE"/>
            </w:tcBorders>
            <w:gridSpan w:val="4"/>
          </w:tcPr>
          <w:p>
            <w:pPr>
              <w:spacing w:after="0"/>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Amended and Restated Bylaws.</w:t>
              </w:r>
            </w:hyperlink>
          </w:p>
        </w:tc>
        <w:tc>
          <w:tcPr>
            <w:tcW w:w="1880" w:type="dxa"/>
            <w:vAlign w:val="bottom"/>
            <w:gridSpan w:val="2"/>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w:t>
            </w: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7/28/2020</w:t>
            </w:r>
          </w:p>
        </w:tc>
      </w:tr>
      <w:tr>
        <w:trPr>
          <w:trHeight w:val="20"/>
        </w:trPr>
        <w:tc>
          <w:tcPr>
            <w:tcW w:w="70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4780" w:type="dxa"/>
            <w:vAlign w:val="bottom"/>
            <w:gridSpan w:val="6"/>
          </w:tcPr>
          <w:p>
            <w:pPr>
              <w:spacing w:after="0"/>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Form of Common Stock Certificate.</w:t>
              </w:r>
            </w:hyperlink>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S-1</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w:t>
            </w: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7/2/2020</w:t>
            </w:r>
          </w:p>
        </w:tc>
      </w:tr>
      <w:tr>
        <w:trPr>
          <w:trHeight w:val="20"/>
        </w:trPr>
        <w:tc>
          <w:tcPr>
            <w:tcW w:w="70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Form of Certificate of Designation of Preferred Stock Certificate.</w:t>
            </w: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9"/>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4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Form of Indenture, between the Registrant and one or more trustees to be named.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4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2"/>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II-2</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159"/>
          </w:cols>
          <w:pgMar w:left="300" w:top="38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 to Filings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Indicated</w:t>
            </w:r>
          </w:p>
        </w:tc>
        <w:tc>
          <w:tcPr>
            <w:tcW w:w="3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Provided</w:t>
            </w:r>
          </w:p>
        </w:tc>
        <w:tc>
          <w:tcPr>
            <w:tcW w:w="0" w:type="dxa"/>
            <w:vAlign w:val="bottom"/>
          </w:tcPr>
          <w:p>
            <w:pPr>
              <w:spacing w:after="0"/>
              <w:rPr>
                <w:sz w:val="1"/>
                <w:szCs w:val="1"/>
                <w:color w:val="auto"/>
              </w:rPr>
            </w:pPr>
          </w:p>
        </w:tc>
      </w:tr>
      <w:tr>
        <w:trPr>
          <w:trHeight w:val="86"/>
        </w:trPr>
        <w:tc>
          <w:tcPr>
            <w:tcW w:w="4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440" w:type="dxa"/>
            <w:vAlign w:val="bottom"/>
            <w:vMerge w:val="restart"/>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48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36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Filing</w:t>
            </w:r>
          </w:p>
        </w:tc>
        <w:tc>
          <w:tcPr>
            <w:tcW w:w="4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7"/>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460" w:type="dxa"/>
            <w:vAlign w:val="bottom"/>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Herewith</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420" w:type="dxa"/>
            <w:vAlign w:val="bottom"/>
          </w:tcPr>
          <w:p>
            <w:pPr>
              <w:spacing w:after="0"/>
              <w:rPr>
                <w:sz w:val="17"/>
                <w:szCs w:val="17"/>
                <w:color w:val="auto"/>
              </w:rPr>
            </w:pPr>
          </w:p>
        </w:tc>
        <w:tc>
          <w:tcPr>
            <w:tcW w:w="3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9"/>
              </w:rPr>
              <w:t>Form of Common Stock Warrant Agreement and Warrant</w:t>
            </w:r>
          </w:p>
        </w:tc>
        <w:tc>
          <w:tcPr>
            <w:tcW w:w="9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8"/>
              </w:rPr>
              <w:t>Certificate.</w:t>
            </w:r>
          </w:p>
        </w:tc>
        <w:tc>
          <w:tcPr>
            <w:tcW w:w="3580" w:type="dxa"/>
            <w:vAlign w:val="bottom"/>
            <w:gridSpan w:val="11"/>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420" w:type="dxa"/>
            <w:vAlign w:val="bottom"/>
          </w:tcPr>
          <w:p>
            <w:pPr>
              <w:spacing w:after="0"/>
              <w:rPr>
                <w:sz w:val="20"/>
                <w:szCs w:val="20"/>
                <w:color w:val="auto"/>
              </w:rPr>
            </w:pPr>
          </w:p>
        </w:tc>
        <w:tc>
          <w:tcPr>
            <w:tcW w:w="3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8"/>
              </w:rPr>
              <w:t>Form of Preferred Stock Warrant Agreement and Warrant</w:t>
            </w:r>
          </w:p>
        </w:tc>
        <w:tc>
          <w:tcPr>
            <w:tcW w:w="1000" w:type="dxa"/>
            <w:vAlign w:val="bottom"/>
            <w:gridSpan w:val="5"/>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8"/>
              </w:rPr>
              <w:t>Certificate.</w:t>
            </w:r>
          </w:p>
        </w:tc>
        <w:tc>
          <w:tcPr>
            <w:tcW w:w="3580" w:type="dxa"/>
            <w:vAlign w:val="bottom"/>
            <w:gridSpan w:val="11"/>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420" w:type="dxa"/>
            <w:vAlign w:val="bottom"/>
          </w:tcPr>
          <w:p>
            <w:pPr>
              <w:spacing w:after="0"/>
              <w:rPr>
                <w:sz w:val="20"/>
                <w:szCs w:val="20"/>
                <w:color w:val="auto"/>
              </w:rPr>
            </w:pPr>
          </w:p>
        </w:tc>
        <w:tc>
          <w:tcPr>
            <w:tcW w:w="3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8"/>
              </w:rPr>
              <w:t>Form of Debt Securities Warrant Agreement and Warrant</w:t>
            </w:r>
          </w:p>
        </w:tc>
        <w:tc>
          <w:tcPr>
            <w:tcW w:w="1020" w:type="dxa"/>
            <w:vAlign w:val="bottom"/>
            <w:gridSpan w:val="6"/>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8"/>
              </w:rPr>
              <w:t>Certificate.</w:t>
            </w:r>
          </w:p>
        </w:tc>
        <w:tc>
          <w:tcPr>
            <w:tcW w:w="3580" w:type="dxa"/>
            <w:vAlign w:val="bottom"/>
            <w:gridSpan w:val="11"/>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6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420" w:type="dxa"/>
            <w:vAlign w:val="bottom"/>
          </w:tcPr>
          <w:p>
            <w:pPr>
              <w:spacing w:after="0"/>
              <w:rPr>
                <w:sz w:val="22"/>
                <w:szCs w:val="22"/>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20" w:type="dxa"/>
            <w:vAlign w:val="bottom"/>
          </w:tcPr>
          <w:p>
            <w:pPr>
              <w:spacing w:after="0"/>
              <w:rPr>
                <w:sz w:val="19"/>
                <w:szCs w:val="19"/>
                <w:color w:val="auto"/>
              </w:rPr>
            </w:pPr>
          </w:p>
        </w:tc>
        <w:tc>
          <w:tcPr>
            <w:tcW w:w="1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7"/>
              </w:rPr>
              <w:t>Opinion of Cooley LLP.</w:t>
            </w:r>
          </w:p>
        </w:tc>
        <w:tc>
          <w:tcPr>
            <w:tcW w:w="2860" w:type="dxa"/>
            <w:vAlign w:val="bottom"/>
            <w:gridSpan w:val="8"/>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420" w:type="dxa"/>
            <w:vAlign w:val="bottom"/>
          </w:tcPr>
          <w:p>
            <w:pPr>
              <w:spacing w:after="0"/>
              <w:rPr>
                <w:sz w:val="20"/>
                <w:szCs w:val="20"/>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20" w:type="dxa"/>
            <w:vAlign w:val="bottom"/>
          </w:tcPr>
          <w:p>
            <w:pPr>
              <w:spacing w:after="0"/>
              <w:rPr>
                <w:sz w:val="20"/>
                <w:szCs w:val="20"/>
                <w:color w:val="auto"/>
              </w:rPr>
            </w:pPr>
          </w:p>
        </w:tc>
        <w:tc>
          <w:tcPr>
            <w:tcW w:w="2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9"/>
              </w:rPr>
              <w:t>Consent of Cooley LLP (included in Exhibit 5.1).</w:t>
            </w:r>
          </w:p>
        </w:tc>
        <w:tc>
          <w:tcPr>
            <w:tcW w:w="600" w:type="dxa"/>
            <w:vAlign w:val="bottom"/>
            <w:tcBorders>
              <w:top w:val="single" w:sz="8" w:color="0000EE"/>
            </w:tcBorders>
            <w:gridSpan w:val="4"/>
          </w:tcPr>
          <w:p>
            <w:pPr>
              <w:spacing w:after="0"/>
              <w:rPr>
                <w:sz w:val="20"/>
                <w:szCs w:val="20"/>
                <w:color w:val="auto"/>
              </w:rPr>
            </w:pPr>
          </w:p>
        </w:tc>
        <w:tc>
          <w:tcPr>
            <w:tcW w:w="84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20" w:type="dxa"/>
            <w:vAlign w:val="bottom"/>
          </w:tcPr>
          <w:p>
            <w:pPr>
              <w:spacing w:after="0"/>
              <w:rPr>
                <w:sz w:val="20"/>
                <w:szCs w:val="20"/>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Powers of Attorney (incorporated by reference to the signature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top w:val="single" w:sz="8" w:color="0000EE"/>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8"/>
              </w:rPr>
              <w:t>page hereto).</w:t>
            </w:r>
          </w:p>
        </w:tc>
        <w:tc>
          <w:tcPr>
            <w:tcW w:w="2760" w:type="dxa"/>
            <w:vAlign w:val="bottom"/>
            <w:tcBorders>
              <w:top w:val="single" w:sz="8" w:color="0000EE"/>
            </w:tcBorders>
            <w:gridSpan w:val="8"/>
          </w:tcPr>
          <w:p>
            <w:pPr>
              <w:spacing w:after="0"/>
              <w:rPr>
                <w:sz w:val="12"/>
                <w:szCs w:val="12"/>
                <w:color w:val="auto"/>
              </w:rPr>
            </w:pPr>
          </w:p>
        </w:tc>
        <w:tc>
          <w:tcPr>
            <w:tcW w:w="7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6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w w:val="89"/>
              </w:rPr>
              <w:t>  25.1**</w:t>
            </w:r>
          </w:p>
        </w:tc>
        <w:tc>
          <w:tcPr>
            <w:tcW w:w="420" w:type="dxa"/>
            <w:vAlign w:val="bottom"/>
          </w:tcPr>
          <w:p>
            <w:pPr>
              <w:spacing w:after="0"/>
              <w:rPr>
                <w:sz w:val="22"/>
                <w:szCs w:val="22"/>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20" w:type="dxa"/>
            <w:vAlign w:val="bottom"/>
          </w:tcPr>
          <w:p>
            <w:pPr>
              <w:spacing w:after="0"/>
              <w:rPr>
                <w:sz w:val="19"/>
                <w:szCs w:val="19"/>
                <w:color w:val="auto"/>
              </w:rPr>
            </w:pP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Filing Fee Table</w:t>
            </w:r>
          </w:p>
        </w:tc>
        <w:tc>
          <w:tcPr>
            <w:tcW w:w="3300" w:type="dxa"/>
            <w:vAlign w:val="bottom"/>
            <w:gridSpan w:val="9"/>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79375</wp:posOffset>
            </wp:positionV>
            <wp:extent cx="59055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133" w:lineRule="exact"/>
        <w:rPr>
          <w:sz w:val="20"/>
          <w:szCs w:val="20"/>
          <w:color w:val="auto"/>
        </w:rPr>
      </w:pPr>
    </w:p>
    <w:p>
      <w:pPr>
        <w:ind w:left="1720" w:hanging="342"/>
        <w:spacing w:after="0"/>
        <w:tabs>
          <w:tab w:leader="none" w:pos="1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w:t>
      </w:r>
    </w:p>
    <w:p>
      <w:pPr>
        <w:spacing w:after="0" w:line="21" w:lineRule="exact"/>
        <w:rPr>
          <w:sz w:val="20"/>
          <w:szCs w:val="20"/>
          <w:color w:val="auto"/>
        </w:rPr>
      </w:pPr>
    </w:p>
    <w:p>
      <w:pPr>
        <w:ind w:left="1720" w:hanging="342"/>
        <w:spacing w:after="0"/>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applicable, in accordance with the requirements of Section 305(b)(2) of the Trust Indenture Act of 1939, as amended.</w:t>
      </w:r>
    </w:p>
    <w:p>
      <w:pPr>
        <w:spacing w:after="0" w:line="272" w:lineRule="exact"/>
        <w:rPr>
          <w:sz w:val="20"/>
          <w:szCs w:val="20"/>
          <w:color w:val="auto"/>
        </w:rPr>
      </w:pPr>
    </w:p>
    <w:p>
      <w:pPr>
        <w:ind w:left="138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90" w:lineRule="exact"/>
        <w:rPr>
          <w:sz w:val="20"/>
          <w:szCs w:val="20"/>
          <w:color w:val="auto"/>
        </w:rPr>
      </w:pPr>
    </w:p>
    <w:p>
      <w:pPr>
        <w:ind w:left="2240" w:hanging="193"/>
        <w:spacing w:after="0"/>
        <w:tabs>
          <w:tab w:leader="none" w:pos="2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9" w:lineRule="exact"/>
        <w:rPr>
          <w:rFonts w:ascii="Times New Roman" w:cs="Times New Roman" w:eastAsia="Times New Roman" w:hAnsi="Times New Roman"/>
          <w:sz w:val="14"/>
          <w:szCs w:val="14"/>
          <w:color w:val="auto"/>
        </w:rPr>
      </w:pPr>
    </w:p>
    <w:p>
      <w:pPr>
        <w:ind w:left="2620" w:hanging="163"/>
        <w:spacing w:after="0"/>
        <w:tabs>
          <w:tab w:leader="none" w:pos="26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89" w:lineRule="exact"/>
        <w:rPr>
          <w:rFonts w:ascii="Times New Roman" w:cs="Times New Roman" w:eastAsia="Times New Roman" w:hAnsi="Times New Roman"/>
          <w:sz w:val="14"/>
          <w:szCs w:val="14"/>
          <w:color w:val="auto"/>
        </w:rPr>
      </w:pPr>
    </w:p>
    <w:p>
      <w:pPr>
        <w:ind w:left="2140" w:right="299" w:firstLine="317"/>
        <w:spacing w:after="0" w:line="254" w:lineRule="auto"/>
        <w:tabs>
          <w:tab w:leader="none" w:pos="265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2" w:lineRule="exact"/>
        <w:rPr>
          <w:sz w:val="20"/>
          <w:szCs w:val="20"/>
          <w:color w:val="auto"/>
        </w:rPr>
      </w:pPr>
    </w:p>
    <w:p>
      <w:pPr>
        <w:ind w:left="2140" w:right="339" w:firstLine="310"/>
        <w:spacing w:after="0" w:line="280" w:lineRule="auto"/>
        <w:rPr>
          <w:sz w:val="20"/>
          <w:szCs w:val="20"/>
          <w:color w:val="auto"/>
        </w:rPr>
      </w:pPr>
      <w:r>
        <w:rPr>
          <w:rFonts w:ascii="Times New Roman" w:cs="Times New Roman" w:eastAsia="Times New Roman" w:hAnsi="Times New Roman"/>
          <w:sz w:val="14"/>
          <w:szCs w:val="14"/>
          <w:color w:val="auto"/>
        </w:rPr>
        <w:t>(iii)To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ind w:left="1380" w:right="279"/>
        <w:spacing w:after="0" w:line="266"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undertakings set forth in paragraphs (1)(i), (1)(ii) and (1)(iii) above do not apply if the information required to be included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post-effective amendment by those paragraphs is contained in reports filed with or furnished to the SEC by the registrant pursuant to Section 13 or Section 15(d) of the Exchange Act,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359"/>
        <w:spacing w:after="0" w:line="280" w:lineRule="auto"/>
        <w:rPr>
          <w:sz w:val="20"/>
          <w:szCs w:val="20"/>
          <w:color w:val="auto"/>
        </w:rPr>
      </w:pPr>
      <w:r>
        <w:rPr>
          <w:rFonts w:ascii="Times New Roman" w:cs="Times New Roman" w:eastAsia="Times New Roman" w:hAnsi="Times New Roman"/>
          <w:sz w:val="14"/>
          <w:szCs w:val="14"/>
          <w:color w:val="auto"/>
        </w:rPr>
        <w:t>that are incorporated by reference in this registration statement or are contained in a form of prospectus filed pursuant to Rule 424(b) that is part of this registration statement.</w:t>
      </w:r>
    </w:p>
    <w:p>
      <w:pPr>
        <w:spacing w:after="0" w:line="43" w:lineRule="exact"/>
        <w:rPr>
          <w:sz w:val="20"/>
          <w:szCs w:val="20"/>
          <w:color w:val="auto"/>
        </w:rPr>
      </w:pPr>
    </w:p>
    <w:p>
      <w:pPr>
        <w:ind w:left="1720" w:right="319" w:firstLine="327"/>
        <w:spacing w:after="0" w:line="265" w:lineRule="auto"/>
        <w:tabs>
          <w:tab w:leader="none" w:pos="224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2" w:lineRule="exact"/>
        <w:rPr>
          <w:rFonts w:ascii="Times New Roman" w:cs="Times New Roman" w:eastAsia="Times New Roman" w:hAnsi="Times New Roman"/>
          <w:sz w:val="14"/>
          <w:szCs w:val="14"/>
          <w:color w:val="auto"/>
        </w:rPr>
      </w:pPr>
    </w:p>
    <w:p>
      <w:pPr>
        <w:ind w:left="1720" w:right="419" w:firstLine="327"/>
        <w:spacing w:after="0" w:line="280" w:lineRule="auto"/>
        <w:tabs>
          <w:tab w:leader="none" w:pos="224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2" w:lineRule="exact"/>
        <w:rPr>
          <w:rFonts w:ascii="Times New Roman" w:cs="Times New Roman" w:eastAsia="Times New Roman" w:hAnsi="Times New Roman"/>
          <w:sz w:val="14"/>
          <w:szCs w:val="14"/>
          <w:color w:val="auto"/>
        </w:rPr>
      </w:pPr>
    </w:p>
    <w:p>
      <w:pPr>
        <w:ind w:left="2240" w:hanging="193"/>
        <w:spacing w:after="0"/>
        <w:tabs>
          <w:tab w:leader="none" w:pos="2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9" w:lineRule="exact"/>
        <w:rPr>
          <w:rFonts w:ascii="Times New Roman" w:cs="Times New Roman" w:eastAsia="Times New Roman" w:hAnsi="Times New Roman"/>
          <w:sz w:val="14"/>
          <w:szCs w:val="14"/>
          <w:color w:val="auto"/>
        </w:rPr>
      </w:pPr>
    </w:p>
    <w:p>
      <w:pPr>
        <w:ind w:left="2140" w:right="279" w:firstLine="317"/>
        <w:spacing w:after="0" w:line="280" w:lineRule="auto"/>
        <w:tabs>
          <w:tab w:leader="none" w:pos="261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2" w:lineRule="exact"/>
        <w:rPr>
          <w:rFonts w:ascii="Times New Roman" w:cs="Times New Roman" w:eastAsia="Times New Roman" w:hAnsi="Times New Roman"/>
          <w:sz w:val="14"/>
          <w:szCs w:val="14"/>
          <w:color w:val="auto"/>
        </w:rPr>
      </w:pPr>
    </w:p>
    <w:p>
      <w:pPr>
        <w:ind w:left="2140" w:right="299" w:firstLine="317"/>
        <w:spacing w:after="0" w:line="252" w:lineRule="auto"/>
        <w:tabs>
          <w:tab w:leader="none" w:pos="265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2" w:lineRule="exact"/>
        <w:rPr>
          <w:rFonts w:ascii="Times New Roman" w:cs="Times New Roman" w:eastAsia="Times New Roman" w:hAnsi="Times New Roman"/>
          <w:sz w:val="14"/>
          <w:szCs w:val="14"/>
          <w:color w:val="auto"/>
        </w:rPr>
      </w:pPr>
    </w:p>
    <w:p>
      <w:pPr>
        <w:ind w:left="1720" w:right="379" w:firstLine="327"/>
        <w:spacing w:after="0" w:line="257" w:lineRule="auto"/>
        <w:tabs>
          <w:tab w:leader="none" w:pos="224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8" w:lineRule="exact"/>
        <w:rPr>
          <w:rFonts w:ascii="Times New Roman" w:cs="Times New Roman" w:eastAsia="Times New Roman" w:hAnsi="Times New Roman"/>
          <w:sz w:val="14"/>
          <w:szCs w:val="14"/>
          <w:color w:val="auto"/>
        </w:rPr>
      </w:pPr>
    </w:p>
    <w:p>
      <w:pPr>
        <w:ind w:left="2620" w:hanging="163"/>
        <w:spacing w:after="0"/>
        <w:tabs>
          <w:tab w:leader="none" w:pos="26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w:t>
      </w:r>
    </w:p>
    <w:p>
      <w:pPr>
        <w:spacing w:after="0" w:line="32" w:lineRule="exact"/>
        <w:rPr>
          <w:rFonts w:ascii="Times New Roman" w:cs="Times New Roman" w:eastAsia="Times New Roman" w:hAnsi="Times New Roman"/>
          <w:sz w:val="13"/>
          <w:szCs w:val="13"/>
          <w:color w:val="auto"/>
        </w:rPr>
      </w:pPr>
    </w:p>
    <w:p>
      <w:pPr>
        <w:ind w:left="21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424;</w:t>
      </w:r>
    </w:p>
    <w:p>
      <w:pPr>
        <w:spacing w:after="0" w:line="75" w:lineRule="exact"/>
        <w:rPr>
          <w:rFonts w:ascii="Times New Roman" w:cs="Times New Roman" w:eastAsia="Times New Roman" w:hAnsi="Times New Roman"/>
          <w:sz w:val="13"/>
          <w:szCs w:val="13"/>
          <w:color w:val="auto"/>
        </w:rPr>
      </w:pPr>
    </w:p>
    <w:p>
      <w:pPr>
        <w:ind w:left="2140" w:right="259" w:firstLine="317"/>
        <w:spacing w:after="0" w:line="280" w:lineRule="auto"/>
        <w:tabs>
          <w:tab w:leader="none" w:pos="265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2" w:lineRule="exact"/>
        <w:rPr>
          <w:rFonts w:ascii="Times New Roman" w:cs="Times New Roman" w:eastAsia="Times New Roman" w:hAnsi="Times New Roman"/>
          <w:sz w:val="14"/>
          <w:szCs w:val="14"/>
          <w:color w:val="auto"/>
        </w:rPr>
      </w:pPr>
    </w:p>
    <w:p>
      <w:pPr>
        <w:ind w:left="2140" w:right="459" w:firstLine="317"/>
        <w:spacing w:after="0" w:line="280" w:lineRule="auto"/>
        <w:tabs>
          <w:tab w:leader="none" w:pos="2694"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2" w:lineRule="exact"/>
        <w:rPr>
          <w:rFonts w:ascii="Times New Roman" w:cs="Times New Roman" w:eastAsia="Times New Roman" w:hAnsi="Times New Roman"/>
          <w:sz w:val="14"/>
          <w:szCs w:val="14"/>
          <w:color w:val="auto"/>
        </w:rPr>
      </w:pPr>
    </w:p>
    <w:p>
      <w:pPr>
        <w:ind w:left="2700" w:hanging="243"/>
        <w:spacing w:after="0"/>
        <w:tabs>
          <w:tab w:leader="none" w:pos="27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89" w:lineRule="exact"/>
        <w:rPr>
          <w:rFonts w:ascii="Times New Roman" w:cs="Times New Roman" w:eastAsia="Times New Roman" w:hAnsi="Times New Roman"/>
          <w:sz w:val="14"/>
          <w:szCs w:val="14"/>
          <w:color w:val="auto"/>
        </w:rPr>
      </w:pPr>
    </w:p>
    <w:p>
      <w:pPr>
        <w:ind w:left="2240" w:hanging="193"/>
        <w:spacing w:after="0"/>
        <w:tabs>
          <w:tab w:leader="none" w:pos="2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w:t>
      </w:r>
    </w:p>
    <w:p>
      <w:pPr>
        <w:spacing w:after="0" w:line="21" w:lineRule="exact"/>
        <w:rPr>
          <w:sz w:val="20"/>
          <w:szCs w:val="20"/>
          <w:color w:val="auto"/>
        </w:rPr>
      </w:pPr>
    </w:p>
    <w:p>
      <w:pPr>
        <w:ind w:left="1720" w:right="759"/>
        <w:spacing w:after="0" w:line="254" w:lineRule="auto"/>
        <w:rPr>
          <w:sz w:val="20"/>
          <w:szCs w:val="20"/>
          <w:color w:val="auto"/>
        </w:rPr>
      </w:pPr>
      <w:r>
        <w:rPr>
          <w:rFonts w:ascii="Times New Roman" w:cs="Times New Roman" w:eastAsia="Times New Roman" w:hAnsi="Times New Roman"/>
          <w:sz w:val="14"/>
          <w:szCs w:val="14"/>
          <w:color w:val="auto"/>
        </w:rPr>
        <w:t>Section 13(a) or 15(d) of the Exchange Act (and, where applicable, each filing of an employee benefit plan’s annual report pursuant to Section 15(d) of the Exchange Act) that is incorporated by reference in the registration statement shall be deemed to be a new registration statement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color w:val="auto"/>
        </w:rPr>
        <w:t>relating to the securities offered therein, and the offering of such securities at that time shall be deemed to be the initial bona fide offering thereof.</w:t>
      </w:r>
    </w:p>
    <w:p>
      <w:pPr>
        <w:spacing w:after="0" w:line="101" w:lineRule="exact"/>
        <w:rPr>
          <w:sz w:val="20"/>
          <w:szCs w:val="20"/>
          <w:color w:val="auto"/>
        </w:rPr>
      </w:pPr>
    </w:p>
    <w:p>
      <w:pPr>
        <w:ind w:left="1720" w:right="419" w:firstLine="327"/>
        <w:spacing w:after="0" w:line="280" w:lineRule="auto"/>
        <w:tabs>
          <w:tab w:leader="none" w:pos="224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42" w:lineRule="exact"/>
        <w:rPr>
          <w:rFonts w:ascii="Times New Roman" w:cs="Times New Roman" w:eastAsia="Times New Roman" w:hAnsi="Times New Roman"/>
          <w:sz w:val="14"/>
          <w:szCs w:val="14"/>
          <w:color w:val="auto"/>
        </w:rPr>
      </w:pPr>
    </w:p>
    <w:p>
      <w:pPr>
        <w:ind w:left="1720" w:right="299" w:firstLine="327"/>
        <w:spacing w:after="0" w:line="253" w:lineRule="auto"/>
        <w:tabs>
          <w:tab w:leader="none" w:pos="224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6" w:lineRule="exact"/>
        <w:rPr>
          <w:sz w:val="20"/>
          <w:szCs w:val="20"/>
          <w:color w:val="auto"/>
        </w:rPr>
      </w:pPr>
    </w:p>
    <w:p>
      <w:pPr>
        <w:ind w:left="1380" w:right="519" w:firstLine="341"/>
        <w:spacing w:after="0" w:line="26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Brisbane, California, on March 30, 2026.</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Annexon, Inc.</w:t>
      </w:r>
    </w:p>
    <w:p>
      <w:pPr>
        <w:spacing w:after="0" w:line="174" w:lineRule="exact"/>
        <w:rPr>
          <w:sz w:val="20"/>
          <w:szCs w:val="20"/>
          <w:color w:val="auto"/>
        </w:rPr>
      </w:pPr>
    </w:p>
    <w:tbl>
      <w:tblPr>
        <w:tblLayout w:type="fixed"/>
        <w:tblInd w:w="6500" w:type="dxa"/>
        <w:tblCellMar>
          <w:top w:w="0" w:type="dxa"/>
          <w:left w:w="0" w:type="dxa"/>
          <w:bottom w:w="0" w:type="dxa"/>
          <w:right w:w="0" w:type="dxa"/>
        </w:tblCellMar>
      </w:tblP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Douglas Love</w:t>
            </w:r>
          </w:p>
        </w:tc>
      </w:tr>
      <w:tr>
        <w:trPr>
          <w:trHeight w:val="143"/>
        </w:trPr>
        <w:tc>
          <w:tcPr>
            <w:tcW w:w="4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300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Douglas Love, Esq.</w:t>
            </w:r>
          </w:p>
        </w:tc>
      </w:t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3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Douglas Love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Jennifer Lew,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or he might or could do in person, hereby ratifying and confirming all that said attorneys-in-fact and agents, or their, his or her substitute or substitutes, may lawfully do or cause to be done by virtue hereof.</w:t>
      </w:r>
    </w:p>
    <w:p>
      <w:pPr>
        <w:spacing w:after="0" w:line="144" w:lineRule="exact"/>
        <w:rPr>
          <w:sz w:val="20"/>
          <w:szCs w:val="20"/>
          <w:color w:val="auto"/>
        </w:rPr>
      </w:pPr>
    </w:p>
    <w:p>
      <w:pPr>
        <w:ind w:left="1380" w:right="659" w:firstLine="341"/>
        <w:spacing w:after="0" w:line="28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in the capacities and on the dates indicated.</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45"/>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5"/>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Douglas Love</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President, Chief Executive Officer and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Douglas Love, Esq.</w:t>
            </w:r>
          </w:p>
        </w:tc>
        <w:tc>
          <w:tcPr>
            <w:tcW w:w="80" w:type="dxa"/>
            <w:vAlign w:val="bottom"/>
          </w:tcPr>
          <w:p>
            <w:pPr>
              <w:spacing w:after="0"/>
              <w:rPr>
                <w:sz w:val="15"/>
                <w:szCs w:val="15"/>
                <w:color w:val="auto"/>
              </w:rPr>
            </w:pPr>
          </w:p>
        </w:tc>
        <w:tc>
          <w:tcPr>
            <w:tcW w:w="4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Jennifer Lew</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Executive Vice President and Chief Financial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Lew</w:t>
            </w:r>
          </w:p>
        </w:tc>
        <w:tc>
          <w:tcPr>
            <w:tcW w:w="80" w:type="dxa"/>
            <w:vAlign w:val="bottom"/>
          </w:tcPr>
          <w:p>
            <w:pPr>
              <w:spacing w:after="0"/>
              <w:rPr>
                <w:sz w:val="15"/>
                <w:szCs w:val="15"/>
                <w:color w:val="auto"/>
              </w:rPr>
            </w:pPr>
          </w:p>
        </w:tc>
        <w:tc>
          <w:tcPr>
            <w:tcW w:w="4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(Principal Financial and Accounting Officer)</w:t>
            </w: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Thomas G. Wiggans</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Chairperson and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Thomas G. Wiggans</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William H. Carson</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William H. Carson, M.D.</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Jung E. Choi</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Jung E. Choi</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Bettina M. Cockroft</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Bettina M. Cockroft, M.D.</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8"/>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38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45"/>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5"/>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Muneer Satter</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Muneer Satter</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William D. Waddill</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William D. Waddill</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William Jones</w:t>
            </w:r>
          </w:p>
        </w:tc>
        <w:tc>
          <w:tcPr>
            <w:tcW w:w="80" w:type="dxa"/>
            <w:vAlign w:val="bottom"/>
          </w:tcPr>
          <w:p>
            <w:pPr>
              <w:spacing w:after="0"/>
              <w:rPr>
                <w:sz w:val="24"/>
                <w:szCs w:val="24"/>
                <w:color w:val="auto"/>
              </w:rPr>
            </w:pPr>
          </w:p>
        </w:tc>
        <w:tc>
          <w:tcPr>
            <w:tcW w:w="4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2026</w:t>
            </w:r>
          </w:p>
        </w:tc>
      </w:tr>
      <w:tr>
        <w:trPr>
          <w:trHeight w:val="173"/>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William Jones</w:t>
            </w:r>
          </w:p>
        </w:tc>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8"/>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384" w:right="1440" w:bottom="1440" w:gutter="0" w:footer="0" w:header="0"/>
        </w:sectPr>
      </w:pPr>
    </w:p>
    <w:bookmarkStart w:id="72" w:name="page73"/>
    <w:bookmarkEnd w:id="72"/>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ANNEXON,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w:t>
      </w:r>
      <w:r>
        <w:rPr>
          <w:rFonts w:ascii="Times New Roman" w:cs="Times New Roman" w:eastAsia="Times New Roman" w:hAnsi="Times New Roman"/>
          <w:sz w:val="14"/>
          <w:szCs w:val="14"/>
          <w:color w:val="auto"/>
        </w:rPr>
        <w:t>u</w:t>
      </w:r>
      <w:r>
        <w:rPr>
          <w:rFonts w:ascii="Times New Roman" w:cs="Times New Roman" w:eastAsia="Times New Roman" w:hAnsi="Times New Roman"/>
          <w:sz w:val="14"/>
          <w:szCs w:val="14"/>
          <w:b w:val="1"/>
          <w:bCs w:val="1"/>
          <w:color w:val="auto"/>
        </w:rPr>
        <w:t>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176530</wp:posOffset>
            </wp:positionV>
            <wp:extent cx="11353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193675</wp:posOffset>
            </wp:positionV>
            <wp:extent cx="11353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ectPr>
          <w:pgSz w:w="11900" w:h="16838" w:orient="portrait"/>
          <w:cols w:equalWidth="0" w:num="1">
            <w:col w:w="9019"/>
          </w:cols>
          <w:pgMar w:left="1440" w:top="123"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167"/>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 DEFINITIONS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Definitions of Terms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1"/>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2 ISSUE, DESCRIPTION, TERMS, EXECUTION, REGISTRATION AND EXCHANGE OF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2.01</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Designation and Terms of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2.02</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of Securities and Trustee’s Certificate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2.03</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2.04</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Execution and Authentications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2.05</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2.06</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Temporary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2.07</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Mutilated, Destroyed, Lost or Stolen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2.08</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Cancellation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2.09</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of Indenture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Authenticating Agent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2.11</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2.12</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CUSIP Numbers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6"/>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3 REDEMPTION OF SECURITIES AND SINKING FUND PROVISIONS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3.01</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3.02</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Notice of Redemption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3.03</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Upon Redemption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3.04</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Sinking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3.05</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3.06</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1"/>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4 COVENANTS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4.01</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4.02</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4.03</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Paying Agents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4.04</w:t>
            </w: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Appointment to Fill Vacancy in Office of Trustee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4"/>
          <w:szCs w:val="14"/>
          <w:b w:val="1"/>
          <w:bCs w:val="1"/>
          <w:color w:val="auto"/>
        </w:rPr>
        <w:t>)</w:t>
      </w:r>
    </w:p>
    <w:p>
      <w:pPr>
        <w:spacing w:after="0" w:line="102" w:lineRule="exact"/>
        <w:rPr>
          <w:sz w:val="20"/>
          <w:szCs w:val="20"/>
          <w:color w:val="auto"/>
        </w:rPr>
      </w:pPr>
    </w:p>
    <w:tbl>
      <w:tblPr>
        <w:tblLayout w:type="fixed"/>
        <w:tblInd w:w="240" w:type="dxa"/>
        <w:tblCellMar>
          <w:top w:w="0" w:type="dxa"/>
          <w:left w:w="0" w:type="dxa"/>
          <w:bottom w:w="0" w:type="dxa"/>
          <w:right w:w="0" w:type="dxa"/>
        </w:tblCellMar>
      </w:tblPr>
      <w:tr>
        <w:trPr>
          <w:trHeight w:val="147"/>
        </w:trPr>
        <w:tc>
          <w:tcPr>
            <w:tcW w:w="11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38"/>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5 SECURITYHOLDERS’ LISTS AND REPORTS BY THE COMPANY AND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5.01</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Company to Furnish Trustee Names and Addresses of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5.02</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Preservation of Information; Communications With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5.03</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Reports by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5.04</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Reports by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1"/>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6 REMEDIES OF THE TRUSTEE AND SECURITYHOLDERS ON EVENT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6.01</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Events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6.02</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6.03</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6.04</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Limitation on Suits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6.05</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6.06</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6.07</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Undertaking to Pay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1"/>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7 CONCERNING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3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7.01</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7.02</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7.03</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7.04</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May Hold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7.05</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Moneys Held in Trust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7.06</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7.07</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7.08</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7.09</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7.12</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7"/>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7.13</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2"/>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7.14</w:t>
            </w:r>
          </w:p>
        </w:tc>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Notice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8" w:right="1440" w:bottom="1440" w:gutter="0" w:footer="0" w:header="0"/>
        </w:sectPr>
      </w:pPr>
    </w:p>
    <w:bookmarkStart w:id="75" w:name="page76"/>
    <w:bookmarkEnd w:id="75"/>
    <w:tbl>
      <w:tblPr>
        <w:tblLayout w:type="fixed"/>
        <w:tblInd w:w="24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58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tc>
        <w:tc>
          <w:tcPr>
            <w:tcW w:w="1400" w:type="dxa"/>
            <w:vAlign w:val="bottom"/>
          </w:tcPr>
          <w:p>
            <w:pPr>
              <w:spacing w:after="0"/>
              <w:rPr>
                <w:sz w:val="14"/>
                <w:szCs w:val="14"/>
                <w:color w:val="auto"/>
              </w:rPr>
            </w:pPr>
          </w:p>
        </w:tc>
      </w:tr>
      <w:tr>
        <w:trPr>
          <w:trHeight w:val="184"/>
        </w:trPr>
        <w:tc>
          <w:tcPr>
            <w:tcW w:w="1200" w:type="dxa"/>
            <w:vAlign w:val="bottom"/>
          </w:tcPr>
          <w:p>
            <w:pPr>
              <w:spacing w:after="0"/>
              <w:rPr>
                <w:sz w:val="16"/>
                <w:szCs w:val="16"/>
                <w:color w:val="auto"/>
              </w:rPr>
            </w:pPr>
          </w:p>
        </w:tc>
        <w:tc>
          <w:tcPr>
            <w:tcW w:w="588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4"/>
                <w:szCs w:val="14"/>
                <w:b w:val="1"/>
                <w:bCs w:val="1"/>
                <w:color w:val="auto"/>
              </w:rPr>
              <w:t>)</w:t>
            </w:r>
          </w:p>
        </w:tc>
        <w:tc>
          <w:tcPr>
            <w:tcW w:w="1400" w:type="dxa"/>
            <w:vAlign w:val="bottom"/>
          </w:tcPr>
          <w:p>
            <w:pPr>
              <w:spacing w:after="0"/>
              <w:rPr>
                <w:sz w:val="16"/>
                <w:szCs w:val="16"/>
                <w:color w:val="auto"/>
              </w:rPr>
            </w:pPr>
          </w:p>
        </w:tc>
      </w:tr>
      <w:tr>
        <w:trPr>
          <w:trHeight w:val="243"/>
        </w:trPr>
        <w:tc>
          <w:tcPr>
            <w:tcW w:w="120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3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8 CONCERNING THE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6"/>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8.01</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8.02</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8.03</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8.04</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2"/>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8.05</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9 SUPPLEMENTAL INDENTURES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6"/>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9.01</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9.02</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9.03</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9.04</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2"/>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9.05</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10 SUCCESSOR ENTITY</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36"/>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10.01</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2"/>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10.02</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11 SATISFACTION AND DISCHARGE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36"/>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11.01</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11.02</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11.03</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11.04</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2"/>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11.05</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to Company</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12 IMMUNITY OF INCORPORATORS, STOCKHOLDERS, OFFICERS AND DIRECTORS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1"/>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12.01</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 Recourse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13 MISCELLANEOUS PROVISIONS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36"/>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13.01</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7"/>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13.02</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Actions by Successor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2"/>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13.03</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8"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4"/>
          <w:szCs w:val="14"/>
          <w:b w:val="1"/>
          <w:bCs w:val="1"/>
          <w:color w:val="auto"/>
        </w:rPr>
        <w:t>)</w:t>
      </w:r>
    </w:p>
    <w:p>
      <w:pPr>
        <w:spacing w:after="0" w:line="102" w:lineRule="exact"/>
        <w:rPr>
          <w:sz w:val="20"/>
          <w:szCs w:val="20"/>
          <w:color w:val="auto"/>
        </w:rPr>
      </w:pPr>
    </w:p>
    <w:tbl>
      <w:tblPr>
        <w:tblLayout w:type="fixed"/>
        <w:tblInd w:w="520" w:type="dxa"/>
        <w:tblCellMar>
          <w:top w:w="0" w:type="dxa"/>
          <w:left w:w="0" w:type="dxa"/>
          <w:bottom w:w="0" w:type="dxa"/>
          <w:right w:w="0" w:type="dxa"/>
        </w:tblCellMar>
      </w:tblPr>
      <w:tr>
        <w:trPr>
          <w:trHeight w:val="147"/>
        </w:trPr>
        <w:tc>
          <w:tcPr>
            <w:tcW w:w="9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13.04</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13.05</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13.06</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13.07</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13.08</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13.09</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13.10</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Counterparts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13.11</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Separability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13.12</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Compliance 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13.13</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Patriot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13.14</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Force Majeure</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2"/>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13.12</w:t>
            </w:r>
          </w:p>
        </w:tc>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Table of Contents; Headings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38"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INDENTURE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NDENTURE</w:t>
      </w:r>
      <w:r>
        <w:rPr>
          <w:rFonts w:ascii="Times New Roman" w:cs="Times New Roman" w:eastAsia="Times New Roman" w:hAnsi="Times New Roman"/>
          <w:sz w:val="14"/>
          <w:szCs w:val="14"/>
          <w:color w:val="auto"/>
        </w:rPr>
        <w:t>, dated as of [•], 20__, among Annexon, Inc., a Delaware corporation (the “Company”), and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4"/>
          <w:szCs w:val="14"/>
          <w:color w:val="auto"/>
        </w:rPr>
        <w:t>], as trustee (the “Trustee”):</w:t>
      </w:r>
    </w:p>
    <w:p>
      <w:pPr>
        <w:spacing w:after="0" w:line="90" w:lineRule="exact"/>
        <w:rPr>
          <w:sz w:val="20"/>
          <w:szCs w:val="20"/>
          <w:color w:val="auto"/>
        </w:rPr>
      </w:pPr>
    </w:p>
    <w:p>
      <w:pPr>
        <w:ind w:left="240" w:right="35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for its lawful corporate purposes, the Company has duly authorized the execution and delivery of this Indenture to provide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34" w:lineRule="exact"/>
        <w:rPr>
          <w:sz w:val="20"/>
          <w:szCs w:val="20"/>
          <w:color w:val="auto"/>
        </w:rPr>
      </w:pPr>
    </w:p>
    <w:p>
      <w:pPr>
        <w:ind w:left="240" w:right="47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74" w:lineRule="exact"/>
        <w:rPr>
          <w:sz w:val="20"/>
          <w:szCs w:val="20"/>
          <w:color w:val="auto"/>
        </w:rPr>
      </w:pPr>
    </w:p>
    <w:p>
      <w:pPr>
        <w:ind w:left="240" w:right="59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as follows for the equal and ratable benefit of the holders of Securities: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3" w:lineRule="exact"/>
        <w:rPr>
          <w:sz w:val="20"/>
          <w:szCs w:val="20"/>
          <w:color w:val="auto"/>
        </w:rPr>
      </w:pPr>
    </w:p>
    <w:p>
      <w:pPr>
        <w:ind w:left="240" w:right="27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the Trustee or an authenticating agent with respect to all or any of the series of Securities appointed by the Trustee pursuant to Section 2.10.</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74" w:lineRule="exact"/>
        <w:rPr>
          <w:sz w:val="20"/>
          <w:szCs w:val="20"/>
          <w:color w:val="auto"/>
        </w:rPr>
      </w:pPr>
    </w:p>
    <w:p>
      <w:pPr>
        <w:ind w:left="240" w:right="47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78" w:name="page79"/>
    <w:bookmarkEnd w:id="78"/>
    <w:p>
      <w:pPr>
        <w:ind w:left="240" w:right="379" w:firstLine="341"/>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22" w:lineRule="exact"/>
        <w:rPr>
          <w:sz w:val="20"/>
          <w:szCs w:val="20"/>
          <w:color w:val="auto"/>
        </w:rPr>
      </w:pPr>
    </w:p>
    <w:p>
      <w:pPr>
        <w:ind w:left="240" w:right="41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4" w:lineRule="exact"/>
        <w:rPr>
          <w:sz w:val="20"/>
          <w:szCs w:val="20"/>
          <w:color w:val="auto"/>
        </w:rPr>
      </w:pPr>
    </w:p>
    <w:p>
      <w:pPr>
        <w:ind w:left="240" w:right="35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4" w:lineRule="exact"/>
        <w:rPr>
          <w:sz w:val="20"/>
          <w:szCs w:val="20"/>
          <w:color w:val="auto"/>
        </w:rPr>
      </w:pPr>
    </w:p>
    <w:p>
      <w:pPr>
        <w:ind w:left="240" w:right="83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Annexon, Inc., a corporation duly organized and existing under the laws of the State of Delaware, and, subject to the provisions of Article Ten, shall also include its successors and assigns.</w:t>
      </w:r>
    </w:p>
    <w:p>
      <w:pPr>
        <w:spacing w:after="0" w:line="122" w:lineRule="exact"/>
        <w:rPr>
          <w:sz w:val="20"/>
          <w:szCs w:val="20"/>
          <w:color w:val="auto"/>
        </w:rPr>
      </w:pPr>
    </w:p>
    <w:p>
      <w:pPr>
        <w:ind w:left="240" w:right="81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 located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-37465</wp:posOffset>
            </wp:positionV>
            <wp:extent cx="203517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2035175" cy="6350"/>
                    </a:xfrm>
                    <a:prstGeom prst="rect">
                      <a:avLst/>
                    </a:prstGeom>
                    <a:noFill/>
                  </pic:spPr>
                </pic:pic>
              </a:graphicData>
            </a:graphic>
          </wp:anchor>
        </w:drawing>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74" w:lineRule="exact"/>
        <w:rPr>
          <w:sz w:val="20"/>
          <w:szCs w:val="20"/>
          <w:color w:val="auto"/>
        </w:rPr>
      </w:pPr>
    </w:p>
    <w:p>
      <w:pPr>
        <w:ind w:left="240" w:right="25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4" w:lineRule="exact"/>
        <w:rPr>
          <w:sz w:val="20"/>
          <w:szCs w:val="20"/>
          <w:color w:val="auto"/>
        </w:rPr>
      </w:pPr>
    </w:p>
    <w:p>
      <w:pPr>
        <w:ind w:left="240" w:right="31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22" w:lineRule="exact"/>
        <w:rPr>
          <w:sz w:val="20"/>
          <w:szCs w:val="20"/>
          <w:color w:val="auto"/>
        </w:rPr>
      </w:pPr>
    </w:p>
    <w:p>
      <w:pPr>
        <w:ind w:left="240" w:right="51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2" w:lineRule="exact"/>
        <w:rPr>
          <w:sz w:val="20"/>
          <w:szCs w:val="20"/>
          <w:color w:val="auto"/>
        </w:rPr>
      </w:pPr>
    </w:p>
    <w:p>
      <w:pPr>
        <w:ind w:left="240" w:right="279" w:firstLine="341"/>
        <w:spacing w:after="0" w:line="258"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given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mailed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notify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sent</w:t>
      </w:r>
      <w:r>
        <w:rPr>
          <w:rFonts w:ascii="Times New Roman" w:cs="Times New Roman" w:eastAsia="Times New Roman" w:hAnsi="Times New Roman"/>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79" w:name="page80"/>
    <w:bookmarkEnd w:id="79"/>
    <w:p>
      <w:pPr>
        <w:ind w:left="240" w:right="259" w:firstLine="341"/>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4"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5" w:lineRule="exact"/>
        <w:rPr>
          <w:sz w:val="20"/>
          <w:szCs w:val="20"/>
          <w:color w:val="auto"/>
        </w:rPr>
      </w:pPr>
    </w:p>
    <w:p>
      <w:pPr>
        <w:ind w:left="240" w:right="67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2" w:lineRule="exact"/>
        <w:rPr>
          <w:sz w:val="20"/>
          <w:szCs w:val="20"/>
          <w:color w:val="auto"/>
        </w:rPr>
      </w:pPr>
    </w:p>
    <w:p>
      <w:pPr>
        <w:ind w:left="240" w:right="35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4" w:lineRule="exact"/>
        <w:rPr>
          <w:sz w:val="20"/>
          <w:szCs w:val="20"/>
          <w:color w:val="auto"/>
        </w:rPr>
      </w:pPr>
    </w:p>
    <w:p>
      <w:pPr>
        <w:jc w:val="both"/>
        <w:ind w:left="240" w:right="47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4" w:lineRule="exact"/>
        <w:rPr>
          <w:sz w:val="20"/>
          <w:szCs w:val="20"/>
          <w:color w:val="auto"/>
        </w:rPr>
      </w:pPr>
    </w:p>
    <w:p>
      <w:pPr>
        <w:ind w:left="240" w:right="39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4" w:lineRule="exact"/>
        <w:rPr>
          <w:sz w:val="20"/>
          <w:szCs w:val="20"/>
          <w:color w:val="auto"/>
        </w:rPr>
      </w:pPr>
    </w:p>
    <w:p>
      <w:pPr>
        <w:ind w:left="240" w:right="35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 provisions thereof.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80" w:name="page81"/>
    <w:bookmarkEnd w:id="80"/>
    <w:p>
      <w:pPr>
        <w:ind w:left="240" w:right="399" w:firstLine="341"/>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4"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5" w:lineRule="exact"/>
        <w:rPr>
          <w:sz w:val="20"/>
          <w:szCs w:val="20"/>
          <w:color w:val="auto"/>
        </w:rPr>
      </w:pPr>
    </w:p>
    <w:p>
      <w:pPr>
        <w:jc w:val="center"/>
        <w:ind w:left="240" w:right="439"/>
        <w:spacing w:after="0" w:line="32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98" w:lineRule="exact"/>
        <w:rPr>
          <w:sz w:val="20"/>
          <w:szCs w:val="20"/>
          <w:color w:val="auto"/>
        </w:rPr>
      </w:pPr>
    </w:p>
    <w:p>
      <w:pPr>
        <w:jc w:val="both"/>
        <w:ind w:left="240" w:right="29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4" w:lineRule="exact"/>
        <w:rPr>
          <w:sz w:val="20"/>
          <w:szCs w:val="20"/>
          <w:color w:val="auto"/>
        </w:rPr>
      </w:pPr>
    </w:p>
    <w:p>
      <w:pPr>
        <w:ind w:left="240" w:right="319" w:firstLine="341"/>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Responsible Officer</w:t>
      </w:r>
      <w:r>
        <w:rPr>
          <w:rFonts w:ascii="Times New Roman" w:cs="Times New Roman" w:eastAsia="Times New Roman" w:hAnsi="Times New Roman"/>
          <w:sz w:val="13"/>
          <w:szCs w:val="13"/>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21" w:lineRule="exact"/>
        <w:rPr>
          <w:sz w:val="20"/>
          <w:szCs w:val="20"/>
          <w:color w:val="auto"/>
        </w:rPr>
      </w:pPr>
    </w:p>
    <w:p>
      <w:pPr>
        <w:ind w:left="240" w:right="49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74" w:lineRule="exact"/>
        <w:rPr>
          <w:sz w:val="20"/>
          <w:szCs w:val="20"/>
          <w:color w:val="auto"/>
        </w:rPr>
      </w:pPr>
    </w:p>
    <w:p>
      <w:pPr>
        <w:ind w:left="240" w:right="59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81" w:name="page82"/>
    <w:bookmarkEnd w:id="81"/>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174"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means _________________________, and, subject to the provisions of Article Seven, shall also include its successors and assigns, and,</w:t>
      </w:r>
    </w:p>
    <w:p>
      <w:pPr>
        <w:spacing w:after="0" w:line="35" w:lineRule="exact"/>
        <w:rPr>
          <w:sz w:val="20"/>
          <w:szCs w:val="20"/>
          <w:color w:val="auto"/>
        </w:rPr>
      </w:pPr>
    </w:p>
    <w:p>
      <w:pPr>
        <w:ind w:left="240" w:right="359"/>
        <w:spacing w:after="0" w:line="258" w:lineRule="auto"/>
        <w:rPr>
          <w:sz w:val="20"/>
          <w:szCs w:val="20"/>
          <w:color w:val="auto"/>
        </w:rPr>
      </w:pPr>
      <w:r>
        <w:rPr>
          <w:rFonts w:ascii="Times New Roman" w:cs="Times New Roman" w:eastAsia="Times New Roman" w:hAnsi="Times New Roman"/>
          <w:sz w:val="14"/>
          <w:szCs w:val="14"/>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174" w:lineRule="exact"/>
        <w:rPr>
          <w:sz w:val="20"/>
          <w:szCs w:val="20"/>
          <w:color w:val="auto"/>
        </w:rPr>
      </w:pPr>
    </w:p>
    <w:p>
      <w:pPr>
        <w:ind w:left="240" w:right="279" w:firstLine="341"/>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“U.S.A. Patriot Act” </w:t>
      </w:r>
      <w:r>
        <w:rPr>
          <w:rFonts w:ascii="Times New Roman" w:cs="Times New Roman" w:eastAsia="Times New Roman" w:hAnsi="Times New Roman"/>
          <w:sz w:val="14"/>
          <w:szCs w:val="14"/>
          <w:color w:val="auto"/>
        </w:rPr>
        <w:t>means the Uniting and Strengthening America by Providing Appropriate Tools Required to Intercept and Obstruct Terrorism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 of 2001, Pub. L. 107-56, as amended and signed into law October 26, 2001.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2.01 Designation and Terms of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766"/>
        <w:spacing w:after="0" w:line="286" w:lineRule="auto"/>
        <w:tabs>
          <w:tab w:leader="none" w:pos="1205"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0" w:lineRule="exact"/>
        <w:rPr>
          <w:rFonts w:ascii="Times New Roman" w:cs="Times New Roman" w:eastAsia="Times New Roman" w:hAnsi="Times New Roman"/>
          <w:sz w:val="13"/>
          <w:szCs w:val="13"/>
          <w:b w:val="1"/>
          <w:bCs w:val="1"/>
          <w:color w:val="auto"/>
        </w:rPr>
      </w:pPr>
    </w:p>
    <w:p>
      <w:pPr>
        <w:ind w:left="1540" w:hanging="193"/>
        <w:spacing w:after="0"/>
        <w:tabs>
          <w:tab w:leader="none" w:pos="1540" w:val="left"/>
        </w:tabs>
        <w:numPr>
          <w:ilvl w:val="1"/>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173" w:lineRule="exact"/>
        <w:rPr>
          <w:rFonts w:ascii="Times New Roman" w:cs="Times New Roman" w:eastAsia="Times New Roman" w:hAnsi="Times New Roman"/>
          <w:sz w:val="14"/>
          <w:szCs w:val="14"/>
          <w:b w:val="1"/>
          <w:bCs w:val="1"/>
          <w:color w:val="auto"/>
        </w:rPr>
      </w:pPr>
    </w:p>
    <w:p>
      <w:pPr>
        <w:ind w:left="240" w:right="379" w:firstLine="1107"/>
        <w:spacing w:after="0" w:line="265" w:lineRule="auto"/>
        <w:tabs>
          <w:tab w:leader="none" w:pos="1546" w:val="left"/>
        </w:tabs>
        <w:numPr>
          <w:ilvl w:val="1"/>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82" w:name="page83"/>
    <w:bookmarkEnd w:id="82"/>
    <w:p>
      <w:pPr>
        <w:ind w:left="1540" w:hanging="193"/>
        <w:spacing w:after="0"/>
        <w:tabs>
          <w:tab w:leader="none" w:pos="154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maturity date or dates on which the principal of the Securities of the series is payable;</w:t>
      </w:r>
    </w:p>
    <w:p>
      <w:pPr>
        <w:spacing w:after="0" w:line="173" w:lineRule="exact"/>
        <w:rPr>
          <w:rFonts w:ascii="Times New Roman" w:cs="Times New Roman" w:eastAsia="Times New Roman" w:hAnsi="Times New Roman"/>
          <w:sz w:val="14"/>
          <w:szCs w:val="14"/>
          <w:b w:val="1"/>
          <w:bCs w:val="1"/>
          <w:color w:val="auto"/>
        </w:rPr>
      </w:pPr>
    </w:p>
    <w:p>
      <w:pPr>
        <w:ind w:left="1540" w:hanging="193"/>
        <w:spacing w:after="0"/>
        <w:tabs>
          <w:tab w:leader="none" w:pos="154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173" w:lineRule="exact"/>
        <w:rPr>
          <w:rFonts w:ascii="Times New Roman" w:cs="Times New Roman" w:eastAsia="Times New Roman" w:hAnsi="Times New Roman"/>
          <w:sz w:val="14"/>
          <w:szCs w:val="14"/>
          <w:b w:val="1"/>
          <w:bCs w:val="1"/>
          <w:color w:val="auto"/>
        </w:rPr>
      </w:pPr>
    </w:p>
    <w:p>
      <w:pPr>
        <w:ind w:left="1540" w:hanging="193"/>
        <w:spacing w:after="0"/>
        <w:tabs>
          <w:tab w:leader="none" w:pos="154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applicability of any guarantees;</w:t>
      </w:r>
    </w:p>
    <w:p>
      <w:pPr>
        <w:spacing w:after="0" w:line="173" w:lineRule="exact"/>
        <w:rPr>
          <w:rFonts w:ascii="Times New Roman" w:cs="Times New Roman" w:eastAsia="Times New Roman" w:hAnsi="Times New Roman"/>
          <w:sz w:val="14"/>
          <w:szCs w:val="14"/>
          <w:b w:val="1"/>
          <w:bCs w:val="1"/>
          <w:color w:val="auto"/>
        </w:rPr>
      </w:pPr>
    </w:p>
    <w:p>
      <w:pPr>
        <w:ind w:left="1540" w:hanging="193"/>
        <w:spacing w:after="0"/>
        <w:tabs>
          <w:tab w:leader="none" w:pos="154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or not the Securities will be secured or unsecured, and the terms of any secured debt;</w:t>
      </w:r>
    </w:p>
    <w:p>
      <w:pPr>
        <w:spacing w:after="0" w:line="173" w:lineRule="exact"/>
        <w:rPr>
          <w:rFonts w:ascii="Times New Roman" w:cs="Times New Roman" w:eastAsia="Times New Roman" w:hAnsi="Times New Roman"/>
          <w:sz w:val="14"/>
          <w:szCs w:val="14"/>
          <w:b w:val="1"/>
          <w:bCs w:val="1"/>
          <w:color w:val="auto"/>
        </w:rPr>
      </w:pPr>
    </w:p>
    <w:p>
      <w:pPr>
        <w:ind w:left="1540" w:hanging="193"/>
        <w:spacing w:after="0"/>
        <w:tabs>
          <w:tab w:leader="none" w:pos="1540"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whether the Securities rank as senior debt, senior subordinated debt, subordinated debt or any combination thereof, and the terms</w:t>
      </w:r>
    </w:p>
    <w:p>
      <w:pPr>
        <w:spacing w:after="0" w:line="32"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of any subordination;</w:t>
      </w:r>
    </w:p>
    <w:p>
      <w:pPr>
        <w:spacing w:after="0" w:line="158" w:lineRule="exact"/>
        <w:rPr>
          <w:rFonts w:ascii="Times New Roman" w:cs="Times New Roman" w:eastAsia="Times New Roman" w:hAnsi="Times New Roman"/>
          <w:sz w:val="13"/>
          <w:szCs w:val="13"/>
          <w:b w:val="1"/>
          <w:bCs w:val="1"/>
          <w:color w:val="auto"/>
        </w:rPr>
      </w:pPr>
    </w:p>
    <w:p>
      <w:pPr>
        <w:ind w:left="240" w:right="339" w:firstLine="1107"/>
        <w:spacing w:after="0" w:line="259" w:lineRule="auto"/>
        <w:tabs>
          <w:tab w:leader="none" w:pos="1546"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41" w:lineRule="exact"/>
        <w:rPr>
          <w:rFonts w:ascii="Times New Roman" w:cs="Times New Roman" w:eastAsia="Times New Roman" w:hAnsi="Times New Roman"/>
          <w:sz w:val="14"/>
          <w:szCs w:val="14"/>
          <w:b w:val="1"/>
          <w:bCs w:val="1"/>
          <w:color w:val="auto"/>
        </w:rPr>
      </w:pPr>
    </w:p>
    <w:p>
      <w:pPr>
        <w:ind w:left="240" w:right="279" w:firstLine="1107"/>
        <w:spacing w:after="0" w:line="280" w:lineRule="auto"/>
        <w:tabs>
          <w:tab w:leader="none" w:pos="1546"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26" w:lineRule="exact"/>
        <w:rPr>
          <w:rFonts w:ascii="Times New Roman" w:cs="Times New Roman" w:eastAsia="Times New Roman" w:hAnsi="Times New Roman"/>
          <w:sz w:val="14"/>
          <w:szCs w:val="14"/>
          <w:b w:val="1"/>
          <w:bCs w:val="1"/>
          <w:color w:val="auto"/>
        </w:rPr>
      </w:pPr>
    </w:p>
    <w:p>
      <w:pPr>
        <w:ind w:left="1620" w:hanging="273"/>
        <w:spacing w:after="0"/>
        <w:tabs>
          <w:tab w:leader="none" w:pos="16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right, if any, to defer the payment of interest and the maximum length of any such deferral period;</w:t>
      </w:r>
    </w:p>
    <w:p>
      <w:pPr>
        <w:spacing w:after="0" w:line="173" w:lineRule="exact"/>
        <w:rPr>
          <w:rFonts w:ascii="Times New Roman" w:cs="Times New Roman" w:eastAsia="Times New Roman" w:hAnsi="Times New Roman"/>
          <w:sz w:val="14"/>
          <w:szCs w:val="14"/>
          <w:b w:val="1"/>
          <w:bCs w:val="1"/>
          <w:color w:val="auto"/>
        </w:rPr>
      </w:pPr>
    </w:p>
    <w:p>
      <w:pPr>
        <w:ind w:left="240" w:right="279" w:firstLine="1107"/>
        <w:spacing w:after="0" w:line="265" w:lineRule="auto"/>
        <w:tabs>
          <w:tab w:leader="none" w:pos="1608"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35" w:lineRule="exact"/>
        <w:rPr>
          <w:rFonts w:ascii="Times New Roman" w:cs="Times New Roman" w:eastAsia="Times New Roman" w:hAnsi="Times New Roman"/>
          <w:sz w:val="14"/>
          <w:szCs w:val="14"/>
          <w:b w:val="1"/>
          <w:bCs w:val="1"/>
          <w:color w:val="auto"/>
        </w:rPr>
      </w:pPr>
    </w:p>
    <w:p>
      <w:pPr>
        <w:ind w:left="240" w:right="679" w:firstLine="1107"/>
        <w:spacing w:after="0" w:line="265" w:lineRule="auto"/>
        <w:tabs>
          <w:tab w:leader="none" w:pos="1616"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35" w:lineRule="exact"/>
        <w:rPr>
          <w:rFonts w:ascii="Times New Roman" w:cs="Times New Roman" w:eastAsia="Times New Roman" w:hAnsi="Times New Roman"/>
          <w:sz w:val="14"/>
          <w:szCs w:val="14"/>
          <w:b w:val="1"/>
          <w:bCs w:val="1"/>
          <w:color w:val="auto"/>
        </w:rPr>
      </w:pPr>
    </w:p>
    <w:p>
      <w:pPr>
        <w:ind w:left="240" w:right="599" w:firstLine="1107"/>
        <w:spacing w:after="0" w:line="280" w:lineRule="auto"/>
        <w:tabs>
          <w:tab w:leader="none" w:pos="1616"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denominations in which the Securities of the series shall be issuable, if other than denominations of one thousand U.S. dollars ($1,000) or any integral multiple thereof;</w:t>
      </w:r>
    </w:p>
    <w:p>
      <w:pPr>
        <w:spacing w:after="0" w:line="126" w:lineRule="exact"/>
        <w:rPr>
          <w:rFonts w:ascii="Times New Roman" w:cs="Times New Roman" w:eastAsia="Times New Roman" w:hAnsi="Times New Roman"/>
          <w:sz w:val="14"/>
          <w:szCs w:val="14"/>
          <w:b w:val="1"/>
          <w:bCs w:val="1"/>
          <w:color w:val="auto"/>
        </w:rPr>
      </w:pPr>
    </w:p>
    <w:p>
      <w:pPr>
        <w:ind w:left="240" w:right="379" w:firstLine="1107"/>
        <w:spacing w:after="0" w:line="265" w:lineRule="auto"/>
        <w:tabs>
          <w:tab w:leader="none" w:pos="1616"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83" w:name="page84"/>
    <w:bookmarkEnd w:id="83"/>
    <w:p>
      <w:pPr>
        <w:ind w:left="240" w:right="399" w:firstLine="1107"/>
        <w:spacing w:after="0" w:line="265"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35" w:lineRule="exact"/>
        <w:rPr>
          <w:rFonts w:ascii="Times New Roman" w:cs="Times New Roman" w:eastAsia="Times New Roman" w:hAnsi="Times New Roman"/>
          <w:sz w:val="14"/>
          <w:szCs w:val="14"/>
          <w:b w:val="1"/>
          <w:bCs w:val="1"/>
          <w:color w:val="auto"/>
        </w:rPr>
      </w:pPr>
    </w:p>
    <w:p>
      <w:pPr>
        <w:jc w:val="both"/>
        <w:ind w:left="240" w:right="259" w:firstLine="1107"/>
        <w:spacing w:after="0" w:line="257"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41" w:lineRule="exact"/>
        <w:rPr>
          <w:rFonts w:ascii="Times New Roman" w:cs="Times New Roman" w:eastAsia="Times New Roman" w:hAnsi="Times New Roman"/>
          <w:sz w:val="14"/>
          <w:szCs w:val="14"/>
          <w:b w:val="1"/>
          <w:bCs w:val="1"/>
          <w:color w:val="auto"/>
        </w:rPr>
      </w:pPr>
    </w:p>
    <w:p>
      <w:pPr>
        <w:ind w:left="240" w:right="579" w:firstLine="1107"/>
        <w:spacing w:after="0" w:line="280"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 maturity thereof pursuant to Section 6.01;</w:t>
      </w:r>
    </w:p>
    <w:p>
      <w:pPr>
        <w:spacing w:after="0" w:line="126" w:lineRule="exact"/>
        <w:rPr>
          <w:rFonts w:ascii="Times New Roman" w:cs="Times New Roman" w:eastAsia="Times New Roman" w:hAnsi="Times New Roman"/>
          <w:sz w:val="14"/>
          <w:szCs w:val="14"/>
          <w:b w:val="1"/>
          <w:bCs w:val="1"/>
          <w:color w:val="auto"/>
        </w:rPr>
      </w:pPr>
    </w:p>
    <w:p>
      <w:pPr>
        <w:ind w:left="240" w:right="739" w:firstLine="1107"/>
        <w:spacing w:after="0" w:line="280"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covenants applicable to the series of Securities being issued, including, among others, the consolidation, merger or sale covenant;</w:t>
      </w:r>
    </w:p>
    <w:p>
      <w:pPr>
        <w:spacing w:after="0" w:line="126" w:lineRule="exact"/>
        <w:rPr>
          <w:rFonts w:ascii="Times New Roman" w:cs="Times New Roman" w:eastAsia="Times New Roman" w:hAnsi="Times New Roman"/>
          <w:sz w:val="14"/>
          <w:szCs w:val="14"/>
          <w:b w:val="1"/>
          <w:bCs w:val="1"/>
          <w:color w:val="auto"/>
        </w:rPr>
      </w:pPr>
    </w:p>
    <w:p>
      <w:pPr>
        <w:ind w:left="240" w:right="399" w:firstLine="1107"/>
        <w:spacing w:after="0" w:line="280"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26" w:lineRule="exact"/>
        <w:rPr>
          <w:rFonts w:ascii="Times New Roman" w:cs="Times New Roman" w:eastAsia="Times New Roman" w:hAnsi="Times New Roman"/>
          <w:sz w:val="14"/>
          <w:szCs w:val="14"/>
          <w:b w:val="1"/>
          <w:bCs w:val="1"/>
          <w:color w:val="auto"/>
        </w:rPr>
      </w:pPr>
    </w:p>
    <w:p>
      <w:pPr>
        <w:ind w:left="1620" w:hanging="273"/>
        <w:spacing w:after="0"/>
        <w:tabs>
          <w:tab w:leader="none" w:pos="16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73" w:lineRule="exact"/>
        <w:rPr>
          <w:rFonts w:ascii="Times New Roman" w:cs="Times New Roman" w:eastAsia="Times New Roman" w:hAnsi="Times New Roman"/>
          <w:sz w:val="14"/>
          <w:szCs w:val="14"/>
          <w:b w:val="1"/>
          <w:bCs w:val="1"/>
          <w:color w:val="auto"/>
        </w:rPr>
      </w:pPr>
    </w:p>
    <w:p>
      <w:pPr>
        <w:ind w:left="1620" w:hanging="273"/>
        <w:spacing w:after="0"/>
        <w:tabs>
          <w:tab w:leader="none" w:pos="16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satisfaction and discharge of this Indenture;</w:t>
      </w:r>
    </w:p>
    <w:p>
      <w:pPr>
        <w:spacing w:after="0" w:line="173" w:lineRule="exact"/>
        <w:rPr>
          <w:rFonts w:ascii="Times New Roman" w:cs="Times New Roman" w:eastAsia="Times New Roman" w:hAnsi="Times New Roman"/>
          <w:sz w:val="14"/>
          <w:szCs w:val="14"/>
          <w:b w:val="1"/>
          <w:bCs w:val="1"/>
          <w:color w:val="auto"/>
        </w:rPr>
      </w:pPr>
    </w:p>
    <w:p>
      <w:pPr>
        <w:ind w:left="240" w:right="559" w:firstLine="1107"/>
        <w:spacing w:after="0" w:line="280"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the modification of this Indenture both with and without the consent of Securityholders of Securities issued under this Indenture;</w:t>
      </w:r>
    </w:p>
    <w:p>
      <w:pPr>
        <w:spacing w:after="0" w:line="126" w:lineRule="exact"/>
        <w:rPr>
          <w:rFonts w:ascii="Times New Roman" w:cs="Times New Roman" w:eastAsia="Times New Roman" w:hAnsi="Times New Roman"/>
          <w:sz w:val="14"/>
          <w:szCs w:val="14"/>
          <w:b w:val="1"/>
          <w:bCs w:val="1"/>
          <w:color w:val="auto"/>
        </w:rPr>
      </w:pPr>
    </w:p>
    <w:p>
      <w:pPr>
        <w:ind w:left="1620" w:hanging="273"/>
        <w:spacing w:after="0"/>
        <w:tabs>
          <w:tab w:leader="none" w:pos="16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currency of payment of Securities if other than U.S. dollars and the manner of determining the equivalent amount in U.S.</w:t>
      </w:r>
    </w:p>
    <w:p>
      <w:pPr>
        <w:spacing w:after="0" w:line="21" w:lineRule="exact"/>
        <w:rPr>
          <w:rFonts w:ascii="Times New Roman" w:cs="Times New Roman" w:eastAsia="Times New Roman" w:hAnsi="Times New Roman"/>
          <w:sz w:val="14"/>
          <w:szCs w:val="14"/>
          <w:b w:val="1"/>
          <w:bCs w:val="1"/>
          <w:color w:val="auto"/>
        </w:rPr>
      </w:pPr>
    </w:p>
    <w:p>
      <w:pPr>
        <w:ind w:left="2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dollars;</w:t>
      </w:r>
    </w:p>
    <w:p>
      <w:pPr>
        <w:spacing w:after="0" w:line="158" w:lineRule="exact"/>
        <w:rPr>
          <w:rFonts w:ascii="Times New Roman" w:cs="Times New Roman" w:eastAsia="Times New Roman" w:hAnsi="Times New Roman"/>
          <w:sz w:val="14"/>
          <w:szCs w:val="14"/>
          <w:b w:val="1"/>
          <w:bCs w:val="1"/>
          <w:color w:val="auto"/>
        </w:rPr>
      </w:pPr>
    </w:p>
    <w:p>
      <w:pPr>
        <w:ind w:left="240" w:right="379" w:firstLine="1107"/>
        <w:spacing w:after="0" w:line="280"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126" w:lineRule="exact"/>
        <w:rPr>
          <w:rFonts w:ascii="Times New Roman" w:cs="Times New Roman" w:eastAsia="Times New Roman" w:hAnsi="Times New Roman"/>
          <w:sz w:val="14"/>
          <w:szCs w:val="14"/>
          <w:b w:val="1"/>
          <w:bCs w:val="1"/>
          <w:color w:val="auto"/>
        </w:rPr>
      </w:pPr>
    </w:p>
    <w:p>
      <w:pPr>
        <w:ind w:left="240" w:right="359" w:firstLine="1107"/>
        <w:spacing w:after="0" w:line="280" w:lineRule="auto"/>
        <w:tabs>
          <w:tab w:leader="none" w:pos="1616"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84" w:name="page85"/>
    <w:bookmarkEnd w:id="84"/>
    <w:p>
      <w:pPr>
        <w:ind w:left="1620" w:hanging="273"/>
        <w:spacing w:after="0"/>
        <w:tabs>
          <w:tab w:leader="none" w:pos="16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restrictions on transfer, sale or assignment of the Securities of the series; and</w:t>
      </w:r>
    </w:p>
    <w:p>
      <w:pPr>
        <w:spacing w:after="0" w:line="173" w:lineRule="exact"/>
        <w:rPr>
          <w:rFonts w:ascii="Times New Roman" w:cs="Times New Roman" w:eastAsia="Times New Roman" w:hAnsi="Times New Roman"/>
          <w:sz w:val="14"/>
          <w:szCs w:val="14"/>
          <w:b w:val="1"/>
          <w:bCs w:val="1"/>
          <w:color w:val="auto"/>
        </w:rPr>
      </w:pPr>
    </w:p>
    <w:p>
      <w:pPr>
        <w:ind w:left="240" w:right="279" w:firstLine="1107"/>
        <w:spacing w:after="0" w:line="280" w:lineRule="auto"/>
        <w:tabs>
          <w:tab w:leader="none" w:pos="1616"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26" w:lineRule="exact"/>
        <w:rPr>
          <w:sz w:val="20"/>
          <w:szCs w:val="20"/>
          <w:color w:val="auto"/>
        </w:rPr>
      </w:pPr>
    </w:p>
    <w:p>
      <w:pPr>
        <w:ind w:left="240" w:right="399" w:firstLine="341"/>
        <w:spacing w:after="0" w:line="280"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26"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6" w:lineRule="exact"/>
        <w:rPr>
          <w:sz w:val="20"/>
          <w:szCs w:val="20"/>
          <w:color w:val="auto"/>
        </w:rPr>
      </w:pPr>
    </w:p>
    <w:p>
      <w:pPr>
        <w:jc w:val="both"/>
        <w:ind w:left="240" w:right="499" w:firstLine="341"/>
        <w:spacing w:after="0" w:line="265"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59" w:firstLine="341"/>
        <w:spacing w:after="0" w:line="254"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85" w:name="page86"/>
    <w:bookmarkEnd w:id="85"/>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2" w:lineRule="exact"/>
        <w:rPr>
          <w:sz w:val="20"/>
          <w:szCs w:val="20"/>
          <w:color w:val="auto"/>
        </w:rPr>
      </w:pPr>
    </w:p>
    <w:p>
      <w:pPr>
        <w:ind w:left="240" w:right="359" w:firstLine="341"/>
        <w:spacing w:after="0" w:line="294"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6" w:lineRule="exact"/>
        <w:rPr>
          <w:sz w:val="20"/>
          <w:szCs w:val="20"/>
          <w:color w:val="auto"/>
        </w:rPr>
      </w:pPr>
    </w:p>
    <w:p>
      <w:pPr>
        <w:ind w:left="240" w:right="259" w:firstLine="1107"/>
        <w:spacing w:after="0" w:line="252" w:lineRule="auto"/>
        <w:tabs>
          <w:tab w:leader="none" w:pos="1546"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44" w:lineRule="exact"/>
        <w:rPr>
          <w:rFonts w:ascii="Times New Roman" w:cs="Times New Roman" w:eastAsia="Times New Roman" w:hAnsi="Times New Roman"/>
          <w:sz w:val="14"/>
          <w:szCs w:val="14"/>
          <w:b w:val="1"/>
          <w:bCs w:val="1"/>
          <w:color w:val="auto"/>
        </w:rPr>
      </w:pPr>
    </w:p>
    <w:p>
      <w:pPr>
        <w:ind w:left="240" w:right="259" w:firstLine="1107"/>
        <w:spacing w:after="0" w:line="259" w:lineRule="auto"/>
        <w:tabs>
          <w:tab w:leader="none" w:pos="1546"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86" w:name="page87"/>
    <w:bookmarkEnd w:id="86"/>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45" w:lineRule="exact"/>
        <w:rPr>
          <w:sz w:val="20"/>
          <w:szCs w:val="20"/>
          <w:color w:val="auto"/>
        </w:rPr>
      </w:pPr>
    </w:p>
    <w:p>
      <w:pPr>
        <w:jc w:val="both"/>
        <w:ind w:left="240" w:right="379" w:firstLine="341"/>
        <w:spacing w:after="0" w:line="321"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2.04 Execution and Authentications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174" w:lineRule="exact"/>
        <w:rPr>
          <w:sz w:val="20"/>
          <w:szCs w:val="20"/>
          <w:color w:val="auto"/>
        </w:rPr>
      </w:pPr>
    </w:p>
    <w:p>
      <w:pPr>
        <w:ind w:left="240" w:right="279" w:firstLine="341"/>
        <w:spacing w:after="0" w:line="259"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1" w:lineRule="exact"/>
        <w:rPr>
          <w:sz w:val="20"/>
          <w:szCs w:val="20"/>
          <w:color w:val="auto"/>
        </w:rPr>
      </w:pPr>
    </w:p>
    <w:p>
      <w:pPr>
        <w:ind w:left="240" w:right="339" w:firstLine="341"/>
        <w:spacing w:after="0" w:line="255" w:lineRule="auto"/>
        <w:rPr>
          <w:sz w:val="20"/>
          <w:szCs w:val="20"/>
          <w:color w:val="auto"/>
        </w:rPr>
      </w:pPr>
      <w:r>
        <w:rPr>
          <w:rFonts w:ascii="Times New Roman" w:cs="Times New Roman" w:eastAsia="Times New Roman" w:hAnsi="Times New Roman"/>
          <w:sz w:val="14"/>
          <w:szCs w:val="14"/>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45" w:lineRule="exact"/>
        <w:rPr>
          <w:sz w:val="20"/>
          <w:szCs w:val="20"/>
          <w:color w:val="auto"/>
        </w:rPr>
      </w:pPr>
    </w:p>
    <w:p>
      <w:pPr>
        <w:ind w:left="240" w:right="619" w:firstLine="341"/>
        <w:spacing w:after="0" w:line="259" w:lineRule="auto"/>
        <w:rPr>
          <w:sz w:val="20"/>
          <w:szCs w:val="20"/>
          <w:color w:val="auto"/>
        </w:rPr>
      </w:pPr>
      <w:r>
        <w:rPr>
          <w:rFonts w:ascii="Times New Roman" w:cs="Times New Roman" w:eastAsia="Times New Roman" w:hAnsi="Times New Roman"/>
          <w:sz w:val="14"/>
          <w:szCs w:val="14"/>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41" w:lineRule="exact"/>
        <w:rPr>
          <w:sz w:val="20"/>
          <w:szCs w:val="20"/>
          <w:color w:val="auto"/>
        </w:rPr>
      </w:pPr>
    </w:p>
    <w:p>
      <w:pPr>
        <w:ind w:left="240" w:right="399" w:firstLine="341"/>
        <w:spacing w:after="0" w:line="321" w:lineRule="auto"/>
        <w:rPr>
          <w:sz w:val="20"/>
          <w:szCs w:val="20"/>
          <w:color w:val="auto"/>
        </w:rPr>
      </w:pPr>
      <w:r>
        <w:rPr>
          <w:rFonts w:ascii="Times New Roman" w:cs="Times New Roman" w:eastAsia="Times New Roman" w:hAnsi="Times New Roman"/>
          <w:sz w:val="13"/>
          <w:szCs w:val="13"/>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87" w:name="page88"/>
    <w:bookmarkEnd w:id="87"/>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2.05 Registration of Transfer and Exchange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39" w:firstLine="766"/>
        <w:spacing w:after="0" w:line="281" w:lineRule="auto"/>
        <w:tabs>
          <w:tab w:leader="none" w:pos="1205"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28" w:lineRule="exact"/>
        <w:rPr>
          <w:rFonts w:ascii="Times New Roman" w:cs="Times New Roman" w:eastAsia="Times New Roman" w:hAnsi="Times New Roman"/>
          <w:sz w:val="13"/>
          <w:szCs w:val="13"/>
          <w:b w:val="1"/>
          <w:bCs w:val="1"/>
          <w:color w:val="auto"/>
        </w:rPr>
      </w:pPr>
    </w:p>
    <w:p>
      <w:pPr>
        <w:ind w:left="240" w:right="319" w:firstLine="766"/>
        <w:spacing w:after="0" w:line="257" w:lineRule="auto"/>
        <w:tabs>
          <w:tab w:leader="none" w:pos="1213"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2"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Company initially appoints the Trustee as Security Registrar for each series of Securities.</w:t>
      </w:r>
    </w:p>
    <w:p>
      <w:pPr>
        <w:spacing w:after="0" w:line="174"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36" w:lineRule="exact"/>
        <w:rPr>
          <w:sz w:val="20"/>
          <w:szCs w:val="20"/>
          <w:color w:val="auto"/>
        </w:rPr>
      </w:pPr>
    </w:p>
    <w:p>
      <w:pPr>
        <w:ind w:left="240" w:right="259" w:firstLine="766"/>
        <w:spacing w:after="0" w:line="257" w:lineRule="auto"/>
        <w:tabs>
          <w:tab w:leader="none" w:pos="1197"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41" w:lineRule="exact"/>
        <w:rPr>
          <w:rFonts w:ascii="Times New Roman" w:cs="Times New Roman" w:eastAsia="Times New Roman" w:hAnsi="Times New Roman"/>
          <w:sz w:val="14"/>
          <w:szCs w:val="14"/>
          <w:b w:val="1"/>
          <w:bCs w:val="1"/>
          <w:color w:val="auto"/>
        </w:rPr>
      </w:pPr>
    </w:p>
    <w:p>
      <w:pPr>
        <w:ind w:left="240" w:right="279" w:firstLine="766"/>
        <w:spacing w:after="0" w:line="259" w:lineRule="auto"/>
        <w:tabs>
          <w:tab w:leader="none" w:pos="1213"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88" w:name="page89"/>
    <w:bookmarkEnd w:id="88"/>
    <w:p>
      <w:pPr>
        <w:ind w:left="240" w:right="3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36"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52" w:lineRule="auto"/>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75" w:lineRule="auto"/>
        <w:rPr>
          <w:sz w:val="20"/>
          <w:szCs w:val="20"/>
          <w:color w:val="auto"/>
        </w:rPr>
      </w:pPr>
      <w:r>
        <w:rPr>
          <w:rFonts w:ascii="Times New Roman" w:cs="Times New Roman" w:eastAsia="Times New Roman" w:hAnsi="Times New Roman"/>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89" w:name="page90"/>
    <w:bookmarkEnd w:id="89"/>
    <w:p>
      <w:pPr>
        <w:ind w:left="240" w:right="339" w:firstLine="341"/>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2" w:lineRule="exact"/>
        <w:rPr>
          <w:sz w:val="20"/>
          <w:szCs w:val="20"/>
          <w:color w:val="auto"/>
        </w:rPr>
      </w:pPr>
    </w:p>
    <w:p>
      <w:pPr>
        <w:ind w:left="240" w:right="379" w:firstLine="341"/>
        <w:spacing w:after="0" w:line="254"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2.08 Cancellation</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59" w:firstLine="341"/>
        <w:spacing w:after="0" w:line="254"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9"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90" w:name="page91"/>
    <w:bookmarkEnd w:id="90"/>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2.10 Authenticating Agent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75" w:lineRule="auto"/>
        <w:rPr>
          <w:sz w:val="20"/>
          <w:szCs w:val="20"/>
          <w:color w:val="auto"/>
        </w:rPr>
      </w:pPr>
      <w:r>
        <w:rPr>
          <w:rFonts w:ascii="Times New Roman" w:cs="Times New Roman" w:eastAsia="Times New Roman" w:hAnsi="Times New Roman"/>
          <w:sz w:val="13"/>
          <w:szCs w:val="13"/>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31" w:lineRule="exact"/>
        <w:rPr>
          <w:sz w:val="20"/>
          <w:szCs w:val="20"/>
          <w:color w:val="auto"/>
        </w:rPr>
      </w:pPr>
    </w:p>
    <w:p>
      <w:pPr>
        <w:ind w:left="240" w:right="399" w:firstLine="341"/>
        <w:spacing w:after="0" w:line="255"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2.11 Global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766"/>
        <w:spacing w:after="0" w:line="254" w:lineRule="auto"/>
        <w:tabs>
          <w:tab w:leader="none" w:pos="1205"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45" w:lineRule="exact"/>
        <w:rPr>
          <w:rFonts w:ascii="Times New Roman" w:cs="Times New Roman" w:eastAsia="Times New Roman" w:hAnsi="Times New Roman"/>
          <w:sz w:val="14"/>
          <w:szCs w:val="14"/>
          <w:b w:val="1"/>
          <w:bCs w:val="1"/>
          <w:color w:val="auto"/>
        </w:rPr>
      </w:pPr>
    </w:p>
    <w:p>
      <w:pPr>
        <w:ind w:left="240" w:right="379" w:firstLine="766"/>
        <w:spacing w:after="0" w:line="265" w:lineRule="auto"/>
        <w:tabs>
          <w:tab w:leader="none" w:pos="1213"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91" w:name="page92"/>
    <w:bookmarkEnd w:id="91"/>
    <w:p>
      <w:pPr>
        <w:ind w:left="240" w:right="279" w:firstLine="766"/>
        <w:spacing w:after="0" w:line="251" w:lineRule="auto"/>
        <w:tabs>
          <w:tab w:leader="none" w:pos="1197"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2.12 CUSIP Numbers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3</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3.01 Redemption</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479" w:firstLine="341"/>
        <w:spacing w:after="0" w:line="280"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766"/>
        <w:spacing w:after="0" w:line="252" w:lineRule="auto"/>
        <w:tabs>
          <w:tab w:leader="none" w:pos="1205"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8"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5"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93" w:name="page94"/>
    <w:bookmarkEnd w:id="93"/>
    <w:p>
      <w:pPr>
        <w:ind w:left="240" w:right="259" w:firstLine="766"/>
        <w:spacing w:after="0" w:line="252" w:lineRule="auto"/>
        <w:tabs>
          <w:tab w:leader="none" w:pos="1213"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766"/>
        <w:spacing w:after="0" w:line="276" w:lineRule="auto"/>
        <w:tabs>
          <w:tab w:leader="none" w:pos="1205"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30" w:lineRule="exact"/>
        <w:rPr>
          <w:rFonts w:ascii="Times New Roman" w:cs="Times New Roman" w:eastAsia="Times New Roman" w:hAnsi="Times New Roman"/>
          <w:sz w:val="13"/>
          <w:szCs w:val="13"/>
          <w:b w:val="1"/>
          <w:bCs w:val="1"/>
          <w:color w:val="auto"/>
        </w:rPr>
      </w:pPr>
    </w:p>
    <w:p>
      <w:pPr>
        <w:jc w:val="both"/>
        <w:ind w:left="240" w:right="419" w:firstLine="766"/>
        <w:spacing w:after="0" w:line="265" w:lineRule="auto"/>
        <w:tabs>
          <w:tab w:leader="none" w:pos="1213"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3.04 Sinking Fund</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719" w:firstLine="341"/>
        <w:spacing w:after="0" w:line="280"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94" w:name="page95"/>
    <w:bookmarkEnd w:id="94"/>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95" w:name="page96"/>
    <w:bookmarkEnd w:id="95"/>
    <w:p>
      <w:pPr>
        <w:ind w:left="240" w:right="3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4.02 Maintenance of Office or Agency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4.03 Paying Agents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766"/>
        <w:spacing w:after="0" w:line="265" w:lineRule="auto"/>
        <w:tabs>
          <w:tab w:leader="none" w:pos="1205"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52" w:lineRule="exact"/>
        <w:rPr>
          <w:rFonts w:ascii="Times New Roman" w:cs="Times New Roman" w:eastAsia="Times New Roman" w:hAnsi="Times New Roman"/>
          <w:sz w:val="14"/>
          <w:szCs w:val="14"/>
          <w:b w:val="1"/>
          <w:bCs w:val="1"/>
          <w:color w:val="auto"/>
        </w:rPr>
      </w:pPr>
    </w:p>
    <w:p>
      <w:pPr>
        <w:ind w:left="240" w:right="259" w:firstLine="1107"/>
        <w:spacing w:after="0" w:line="265" w:lineRule="auto"/>
        <w:tabs>
          <w:tab w:leader="none" w:pos="1546"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35" w:lineRule="exact"/>
        <w:rPr>
          <w:rFonts w:ascii="Times New Roman" w:cs="Times New Roman" w:eastAsia="Times New Roman" w:hAnsi="Times New Roman"/>
          <w:sz w:val="14"/>
          <w:szCs w:val="14"/>
          <w:b w:val="1"/>
          <w:bCs w:val="1"/>
          <w:color w:val="auto"/>
        </w:rPr>
      </w:pPr>
    </w:p>
    <w:p>
      <w:pPr>
        <w:ind w:left="240" w:right="699" w:firstLine="1107"/>
        <w:spacing w:after="0" w:line="280" w:lineRule="auto"/>
        <w:tabs>
          <w:tab w:leader="none" w:pos="1546"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26" w:lineRule="exact"/>
        <w:rPr>
          <w:rFonts w:ascii="Times New Roman" w:cs="Times New Roman" w:eastAsia="Times New Roman" w:hAnsi="Times New Roman"/>
          <w:sz w:val="14"/>
          <w:szCs w:val="14"/>
          <w:b w:val="1"/>
          <w:bCs w:val="1"/>
          <w:color w:val="auto"/>
        </w:rPr>
      </w:pPr>
    </w:p>
    <w:p>
      <w:pPr>
        <w:ind w:left="240" w:right="279" w:firstLine="1107"/>
        <w:spacing w:after="0" w:line="280" w:lineRule="auto"/>
        <w:tabs>
          <w:tab w:leader="none" w:pos="1546"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96" w:name="page97"/>
    <w:bookmarkEnd w:id="96"/>
    <w:p>
      <w:pPr>
        <w:ind w:left="1540" w:hanging="193"/>
        <w:spacing w:after="0"/>
        <w:tabs>
          <w:tab w:leader="none" w:pos="154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that it will perform all other duties of paying agent as set forth in this Indenture.</w:t>
      </w:r>
    </w:p>
    <w:p>
      <w:pPr>
        <w:spacing w:after="0" w:line="174" w:lineRule="exact"/>
        <w:rPr>
          <w:sz w:val="20"/>
          <w:szCs w:val="20"/>
          <w:color w:val="auto"/>
        </w:rPr>
      </w:pPr>
    </w:p>
    <w:p>
      <w:pPr>
        <w:ind w:left="240" w:right="279" w:firstLine="1107"/>
        <w:spacing w:after="0" w:line="276" w:lineRule="auto"/>
        <w:tabs>
          <w:tab w:leader="none" w:pos="1554" w:val="left"/>
        </w:tabs>
        <w:numPr>
          <w:ilvl w:val="0"/>
          <w:numId w:val="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30" w:lineRule="exact"/>
        <w:rPr>
          <w:rFonts w:ascii="Times New Roman" w:cs="Times New Roman" w:eastAsia="Times New Roman" w:hAnsi="Times New Roman"/>
          <w:sz w:val="13"/>
          <w:szCs w:val="13"/>
          <w:b w:val="1"/>
          <w:bCs w:val="1"/>
          <w:color w:val="auto"/>
        </w:rPr>
      </w:pPr>
    </w:p>
    <w:p>
      <w:pPr>
        <w:ind w:left="240" w:right="299" w:firstLine="1107"/>
        <w:spacing w:after="0" w:line="255" w:lineRule="auto"/>
        <w:tabs>
          <w:tab w:leader="none" w:pos="1538"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619" w:firstLine="341"/>
        <w:spacing w:after="0" w:line="280"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319" w:firstLine="341"/>
        <w:spacing w:after="0" w:line="259" w:lineRule="auto"/>
        <w:rPr>
          <w:sz w:val="20"/>
          <w:szCs w:val="20"/>
          <w:color w:val="auto"/>
        </w:rPr>
      </w:pPr>
      <w:r>
        <w:rPr>
          <w:rFonts w:ascii="Times New Roman" w:cs="Times New Roman" w:eastAsia="Times New Roman" w:hAnsi="Times New Roman"/>
          <w:sz w:val="14"/>
          <w:szCs w:val="14"/>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97" w:name="page98"/>
    <w:bookmarkEnd w:id="97"/>
    <w:p>
      <w:pPr>
        <w:ind w:left="24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5.02 Preservation Of Information; Communications With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679" w:firstLine="766"/>
        <w:spacing w:after="0" w:line="265" w:lineRule="auto"/>
        <w:tabs>
          <w:tab w:leader="none" w:pos="1205"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35" w:lineRule="exact"/>
        <w:rPr>
          <w:rFonts w:ascii="Times New Roman" w:cs="Times New Roman" w:eastAsia="Times New Roman" w:hAnsi="Times New Roman"/>
          <w:sz w:val="14"/>
          <w:szCs w:val="14"/>
          <w:b w:val="1"/>
          <w:bCs w:val="1"/>
          <w:color w:val="auto"/>
        </w:rPr>
      </w:pPr>
    </w:p>
    <w:p>
      <w:pPr>
        <w:ind w:left="1220" w:hanging="214"/>
        <w:spacing w:after="0"/>
        <w:tabs>
          <w:tab w:leader="none" w:pos="122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173" w:lineRule="exact"/>
        <w:rPr>
          <w:rFonts w:ascii="Times New Roman" w:cs="Times New Roman" w:eastAsia="Times New Roman" w:hAnsi="Times New Roman"/>
          <w:sz w:val="14"/>
          <w:szCs w:val="14"/>
          <w:b w:val="1"/>
          <w:bCs w:val="1"/>
          <w:color w:val="auto"/>
        </w:rPr>
      </w:pPr>
    </w:p>
    <w:p>
      <w:pPr>
        <w:jc w:val="both"/>
        <w:ind w:left="240" w:right="299" w:firstLine="766"/>
        <w:spacing w:after="0" w:line="265" w:lineRule="auto"/>
        <w:tabs>
          <w:tab w:leader="none" w:pos="1197"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766"/>
        <w:spacing w:after="0" w:line="252" w:lineRule="auto"/>
        <w:tabs>
          <w:tab w:leader="none" w:pos="1205"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49" w:lineRule="exact"/>
        <w:rPr>
          <w:rFonts w:ascii="Times New Roman" w:cs="Times New Roman" w:eastAsia="Times New Roman" w:hAnsi="Times New Roman"/>
          <w:sz w:val="14"/>
          <w:szCs w:val="14"/>
          <w:b w:val="1"/>
          <w:bCs w:val="1"/>
          <w:color w:val="auto"/>
        </w:rPr>
      </w:pPr>
    </w:p>
    <w:p>
      <w:pPr>
        <w:ind w:left="240" w:right="279" w:firstLine="766"/>
        <w:spacing w:after="0" w:line="259" w:lineRule="auto"/>
        <w:tabs>
          <w:tab w:leader="none" w:pos="1213"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98" w:name="page99"/>
    <w:bookmarkEnd w:id="98"/>
    <w:p>
      <w:pPr>
        <w:ind w:left="240" w:right="3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799" w:firstLine="766"/>
        <w:spacing w:after="0" w:line="280" w:lineRule="auto"/>
        <w:tabs>
          <w:tab w:leader="none" w:pos="1205"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26" w:lineRule="exact"/>
        <w:rPr>
          <w:rFonts w:ascii="Times New Roman" w:cs="Times New Roman" w:eastAsia="Times New Roman" w:hAnsi="Times New Roman"/>
          <w:sz w:val="14"/>
          <w:szCs w:val="14"/>
          <w:b w:val="1"/>
          <w:bCs w:val="1"/>
          <w:color w:val="auto"/>
        </w:rPr>
      </w:pPr>
    </w:p>
    <w:p>
      <w:pPr>
        <w:ind w:left="1220" w:hanging="214"/>
        <w:spacing w:after="0"/>
        <w:tabs>
          <w:tab w:leader="none" w:pos="122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173" w:lineRule="exact"/>
        <w:rPr>
          <w:rFonts w:ascii="Times New Roman" w:cs="Times New Roman" w:eastAsia="Times New Roman" w:hAnsi="Times New Roman"/>
          <w:sz w:val="14"/>
          <w:szCs w:val="14"/>
          <w:b w:val="1"/>
          <w:bCs w:val="1"/>
          <w:color w:val="auto"/>
        </w:rPr>
      </w:pPr>
    </w:p>
    <w:p>
      <w:pPr>
        <w:ind w:left="240" w:right="439" w:firstLine="766"/>
        <w:spacing w:after="0" w:line="265" w:lineRule="auto"/>
        <w:tabs>
          <w:tab w:leader="none" w:pos="1197"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579" w:firstLine="766"/>
        <w:spacing w:after="0" w:line="280" w:lineRule="auto"/>
        <w:tabs>
          <w:tab w:leader="none" w:pos="1205"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42" w:lineRule="exact"/>
        <w:rPr>
          <w:rFonts w:ascii="Times New Roman" w:cs="Times New Roman" w:eastAsia="Times New Roman" w:hAnsi="Times New Roman"/>
          <w:sz w:val="14"/>
          <w:szCs w:val="14"/>
          <w:b w:val="1"/>
          <w:bCs w:val="1"/>
          <w:color w:val="auto"/>
        </w:rPr>
      </w:pPr>
    </w:p>
    <w:p>
      <w:pPr>
        <w:ind w:left="240" w:right="279" w:firstLine="1107"/>
        <w:spacing w:after="0" w:line="259" w:lineRule="auto"/>
        <w:tabs>
          <w:tab w:leader="none" w:pos="1546" w:val="left"/>
        </w:tabs>
        <w:numPr>
          <w:ilvl w:val="1"/>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41" w:lineRule="exact"/>
        <w:rPr>
          <w:rFonts w:ascii="Times New Roman" w:cs="Times New Roman" w:eastAsia="Times New Roman" w:hAnsi="Times New Roman"/>
          <w:sz w:val="14"/>
          <w:szCs w:val="14"/>
          <w:b w:val="1"/>
          <w:bCs w:val="1"/>
          <w:color w:val="auto"/>
        </w:rPr>
      </w:pPr>
    </w:p>
    <w:p>
      <w:pPr>
        <w:ind w:left="240" w:right="279" w:firstLine="1107"/>
        <w:spacing w:after="0" w:line="259" w:lineRule="auto"/>
        <w:tabs>
          <w:tab w:leader="none" w:pos="1546" w:val="left"/>
        </w:tabs>
        <w:numPr>
          <w:ilvl w:val="1"/>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99" w:name="page100"/>
    <w:bookmarkEnd w:id="99"/>
    <w:p>
      <w:pPr>
        <w:ind w:left="240" w:right="259" w:firstLine="1107"/>
        <w:spacing w:after="0" w:line="255" w:lineRule="auto"/>
        <w:tabs>
          <w:tab w:leader="none" w:pos="1546" w:val="left"/>
        </w:tabs>
        <w:numPr>
          <w:ilvl w:val="2"/>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44" w:lineRule="exact"/>
        <w:rPr>
          <w:rFonts w:ascii="Times New Roman" w:cs="Times New Roman" w:eastAsia="Times New Roman" w:hAnsi="Times New Roman"/>
          <w:sz w:val="14"/>
          <w:szCs w:val="14"/>
          <w:b w:val="1"/>
          <w:bCs w:val="1"/>
          <w:color w:val="auto"/>
        </w:rPr>
      </w:pPr>
    </w:p>
    <w:p>
      <w:pPr>
        <w:ind w:left="240" w:right="559" w:firstLine="1107"/>
        <w:spacing w:after="0" w:line="265" w:lineRule="auto"/>
        <w:tabs>
          <w:tab w:leader="none" w:pos="1546" w:val="left"/>
        </w:tabs>
        <w:numPr>
          <w:ilvl w:val="2"/>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35" w:lineRule="exact"/>
        <w:rPr>
          <w:rFonts w:ascii="Times New Roman" w:cs="Times New Roman" w:eastAsia="Times New Roman" w:hAnsi="Times New Roman"/>
          <w:sz w:val="14"/>
          <w:szCs w:val="14"/>
          <w:b w:val="1"/>
          <w:bCs w:val="1"/>
          <w:color w:val="auto"/>
        </w:rPr>
      </w:pPr>
    </w:p>
    <w:p>
      <w:pPr>
        <w:ind w:left="240" w:right="419" w:firstLine="1107"/>
        <w:spacing w:after="0" w:line="265" w:lineRule="auto"/>
        <w:tabs>
          <w:tab w:leader="none" w:pos="1546" w:val="left"/>
        </w:tabs>
        <w:numPr>
          <w:ilvl w:val="2"/>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35" w:lineRule="exact"/>
        <w:rPr>
          <w:rFonts w:ascii="Times New Roman" w:cs="Times New Roman" w:eastAsia="Times New Roman" w:hAnsi="Times New Roman"/>
          <w:sz w:val="14"/>
          <w:szCs w:val="14"/>
          <w:b w:val="1"/>
          <w:bCs w:val="1"/>
          <w:color w:val="auto"/>
        </w:rPr>
      </w:pPr>
    </w:p>
    <w:p>
      <w:pPr>
        <w:ind w:left="240" w:right="299" w:firstLine="766"/>
        <w:spacing w:after="0" w:line="273" w:lineRule="auto"/>
        <w:tabs>
          <w:tab w:leader="none" w:pos="1213" w:val="left"/>
        </w:tabs>
        <w:numPr>
          <w:ilvl w:val="1"/>
          <w:numId w:val="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Times New Roman" w:cs="Times New Roman" w:eastAsia="Times New Roman" w:hAnsi="Times New Roman"/>
          <w:sz w:val="13"/>
          <w:szCs w:val="13"/>
          <w:b w:val="1"/>
          <w:bCs w:val="1"/>
          <w:color w:val="auto"/>
        </w:rPr>
      </w:pPr>
    </w:p>
    <w:p>
      <w:pPr>
        <w:ind w:left="240" w:right="299" w:hanging="2"/>
        <w:spacing w:after="0" w:line="258" w:lineRule="auto"/>
        <w:tabs>
          <w:tab w:leader="none" w:pos="437"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0" w:lineRule="exact"/>
        <w:rPr>
          <w:rFonts w:ascii="Times New Roman" w:cs="Times New Roman" w:eastAsia="Times New Roman" w:hAnsi="Times New Roman"/>
          <w:sz w:val="14"/>
          <w:szCs w:val="14"/>
          <w:color w:val="auto"/>
        </w:rPr>
      </w:pPr>
    </w:p>
    <w:p>
      <w:pPr>
        <w:ind w:left="240" w:right="259" w:firstLine="766"/>
        <w:spacing w:after="0" w:line="252" w:lineRule="auto"/>
        <w:tabs>
          <w:tab w:leader="none" w:pos="1197" w:val="left"/>
        </w:tabs>
        <w:numPr>
          <w:ilvl w:val="1"/>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100" w:name="page101"/>
    <w:bookmarkEnd w:id="100"/>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such rescission and annulment shall extend to or shall affect any subsequent default or impair any right consequent thereon.</w:t>
      </w:r>
    </w:p>
    <w:p>
      <w:pPr>
        <w:spacing w:after="0" w:line="174" w:lineRule="exact"/>
        <w:rPr>
          <w:sz w:val="20"/>
          <w:szCs w:val="20"/>
          <w:color w:val="auto"/>
        </w:rPr>
      </w:pPr>
    </w:p>
    <w:p>
      <w:pPr>
        <w:ind w:left="240" w:right="299" w:firstLine="766"/>
        <w:spacing w:after="0" w:line="257" w:lineRule="auto"/>
        <w:tabs>
          <w:tab w:leader="none" w:pos="1213"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766"/>
        <w:spacing w:after="0" w:line="271" w:lineRule="auto"/>
        <w:tabs>
          <w:tab w:leader="none" w:pos="1205" w:val="left"/>
        </w:tabs>
        <w:numPr>
          <w:ilvl w:val="0"/>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1"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Section 7.06.</w:t>
      </w:r>
    </w:p>
    <w:p>
      <w:pPr>
        <w:spacing w:after="0" w:line="158" w:lineRule="exact"/>
        <w:rPr>
          <w:rFonts w:ascii="Times New Roman" w:cs="Times New Roman" w:eastAsia="Times New Roman" w:hAnsi="Times New Roman"/>
          <w:sz w:val="13"/>
          <w:szCs w:val="13"/>
          <w:b w:val="1"/>
          <w:bCs w:val="1"/>
          <w:color w:val="auto"/>
        </w:rPr>
      </w:pPr>
    </w:p>
    <w:p>
      <w:pPr>
        <w:ind w:left="240" w:right="259" w:firstLine="766"/>
        <w:spacing w:after="0" w:line="257" w:lineRule="auto"/>
        <w:tabs>
          <w:tab w:leader="none" w:pos="1213"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1" w:lineRule="exact"/>
        <w:rPr>
          <w:rFonts w:ascii="Times New Roman" w:cs="Times New Roman" w:eastAsia="Times New Roman" w:hAnsi="Times New Roman"/>
          <w:sz w:val="14"/>
          <w:szCs w:val="14"/>
          <w:b w:val="1"/>
          <w:bCs w:val="1"/>
          <w:color w:val="auto"/>
        </w:rPr>
      </w:pPr>
    </w:p>
    <w:p>
      <w:pPr>
        <w:ind w:left="240" w:right="519" w:firstLine="766"/>
        <w:spacing w:after="0" w:line="259" w:lineRule="auto"/>
        <w:tabs>
          <w:tab w:leader="none" w:pos="1197"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101" w:name="page102"/>
    <w:bookmarkEnd w:id="101"/>
    <w:p>
      <w:pPr>
        <w:ind w:left="240" w:right="3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45" w:lineRule="exact"/>
        <w:rPr>
          <w:sz w:val="20"/>
          <w:szCs w:val="20"/>
          <w:color w:val="auto"/>
        </w:rPr>
      </w:pPr>
    </w:p>
    <w:p>
      <w:pPr>
        <w:ind w:left="240" w:right="259" w:firstLine="766"/>
        <w:spacing w:after="0" w:line="257" w:lineRule="auto"/>
        <w:tabs>
          <w:tab w:leader="none" w:pos="1213"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2" w:lineRule="exact"/>
        <w:rPr>
          <w:sz w:val="20"/>
          <w:szCs w:val="20"/>
          <w:color w:val="auto"/>
        </w:rPr>
      </w:pPr>
    </w:p>
    <w:p>
      <w:pPr>
        <w:ind w:left="240" w:right="379" w:firstLine="341"/>
        <w:spacing w:after="0" w:line="259"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1"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FIRST: To the payment of costs and expenses of collection and of all amounts payable to the Trustee under Section 7.06;</w:t>
      </w:r>
    </w:p>
    <w:p>
      <w:pPr>
        <w:spacing w:after="0" w:line="174"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102" w:name="page103"/>
    <w:bookmarkEnd w:id="102"/>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THIRD: To the payment of the remainder, if any, to the Company or any other Person lawfully entitled thereto.</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5"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766"/>
        <w:spacing w:after="0" w:line="259" w:lineRule="auto"/>
        <w:tabs>
          <w:tab w:leader="none" w:pos="1205"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103" w:name="page104"/>
    <w:bookmarkEnd w:id="103"/>
    <w:p>
      <w:pPr>
        <w:ind w:left="240" w:right="279" w:firstLine="766"/>
        <w:spacing w:after="0" w:line="259" w:lineRule="auto"/>
        <w:tabs>
          <w:tab w:leader="none" w:pos="1213"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6.06 Control by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1"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104" w:name="page105"/>
    <w:bookmarkEnd w:id="104"/>
    <w:p>
      <w:pPr>
        <w:ind w:left="240" w:right="3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766"/>
        <w:spacing w:after="0" w:line="255" w:lineRule="auto"/>
        <w:tabs>
          <w:tab w:leader="none" w:pos="1205"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44" w:lineRule="exact"/>
        <w:rPr>
          <w:rFonts w:ascii="Times New Roman" w:cs="Times New Roman" w:eastAsia="Times New Roman" w:hAnsi="Times New Roman"/>
          <w:sz w:val="14"/>
          <w:szCs w:val="14"/>
          <w:b w:val="1"/>
          <w:bCs w:val="1"/>
          <w:color w:val="auto"/>
        </w:rPr>
      </w:pPr>
    </w:p>
    <w:p>
      <w:pPr>
        <w:ind w:left="240" w:right="499" w:firstLine="766"/>
        <w:spacing w:after="0" w:line="280" w:lineRule="auto"/>
        <w:tabs>
          <w:tab w:leader="none" w:pos="1213"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43" w:lineRule="exact"/>
        <w:rPr>
          <w:sz w:val="20"/>
          <w:szCs w:val="20"/>
          <w:color w:val="auto"/>
        </w:rPr>
      </w:pPr>
    </w:p>
    <w:p>
      <w:pPr>
        <w:ind w:left="240" w:right="279" w:firstLine="766"/>
        <w:spacing w:after="0" w:line="280" w:lineRule="auto"/>
        <w:tabs>
          <w:tab w:leader="none" w:pos="1174"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42" w:lineRule="exact"/>
        <w:rPr>
          <w:rFonts w:ascii="Times New Roman" w:cs="Times New Roman" w:eastAsia="Times New Roman" w:hAnsi="Times New Roman"/>
          <w:sz w:val="14"/>
          <w:szCs w:val="14"/>
          <w:b w:val="1"/>
          <w:bCs w:val="1"/>
          <w:color w:val="auto"/>
        </w:rPr>
      </w:pPr>
    </w:p>
    <w:p>
      <w:pPr>
        <w:ind w:left="240" w:right="279" w:firstLine="1107"/>
        <w:spacing w:after="0" w:line="259" w:lineRule="auto"/>
        <w:tabs>
          <w:tab w:leader="none" w:pos="1577" w:val="left"/>
        </w:tabs>
        <w:numPr>
          <w:ilvl w:val="1"/>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41" w:lineRule="exact"/>
        <w:rPr>
          <w:rFonts w:ascii="Times New Roman" w:cs="Times New Roman" w:eastAsia="Times New Roman" w:hAnsi="Times New Roman"/>
          <w:sz w:val="14"/>
          <w:szCs w:val="14"/>
          <w:b w:val="1"/>
          <w:bCs w:val="1"/>
          <w:color w:val="auto"/>
        </w:rPr>
      </w:pPr>
    </w:p>
    <w:p>
      <w:pPr>
        <w:ind w:left="240" w:right="299" w:firstLine="1107"/>
        <w:spacing w:after="0" w:line="257" w:lineRule="auto"/>
        <w:tabs>
          <w:tab w:leader="none" w:pos="1570" w:val="left"/>
        </w:tabs>
        <w:numPr>
          <w:ilvl w:val="1"/>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105" w:name="page106"/>
    <w:bookmarkEnd w:id="105"/>
    <w:p>
      <w:pPr>
        <w:ind w:left="240" w:right="459" w:firstLine="766"/>
        <w:spacing w:after="0" w:line="321" w:lineRule="auto"/>
        <w:tabs>
          <w:tab w:leader="none" w:pos="1213" w:val="left"/>
        </w:tabs>
        <w:numPr>
          <w:ilvl w:val="0"/>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01" w:lineRule="exact"/>
        <w:rPr>
          <w:rFonts w:ascii="Times New Roman" w:cs="Times New Roman" w:eastAsia="Times New Roman" w:hAnsi="Times New Roman"/>
          <w:sz w:val="13"/>
          <w:szCs w:val="13"/>
          <w:b w:val="1"/>
          <w:bCs w:val="1"/>
          <w:color w:val="auto"/>
        </w:rPr>
      </w:pPr>
    </w:p>
    <w:p>
      <w:pPr>
        <w:ind w:left="240" w:right="279" w:firstLine="766"/>
        <w:spacing w:after="0" w:line="259" w:lineRule="auto"/>
        <w:tabs>
          <w:tab w:leader="none" w:pos="1252"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41" w:lineRule="exact"/>
        <w:rPr>
          <w:rFonts w:ascii="Times New Roman" w:cs="Times New Roman" w:eastAsia="Times New Roman" w:hAnsi="Times New Roman"/>
          <w:sz w:val="14"/>
          <w:szCs w:val="14"/>
          <w:b w:val="1"/>
          <w:bCs w:val="1"/>
          <w:color w:val="auto"/>
        </w:rPr>
      </w:pPr>
    </w:p>
    <w:p>
      <w:pPr>
        <w:ind w:left="240" w:right="319" w:firstLine="766"/>
        <w:spacing w:after="0" w:line="259" w:lineRule="auto"/>
        <w:tabs>
          <w:tab w:leader="none" w:pos="1244"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1" w:lineRule="exact"/>
        <w:rPr>
          <w:rFonts w:ascii="Times New Roman" w:cs="Times New Roman" w:eastAsia="Times New Roman" w:hAnsi="Times New Roman"/>
          <w:sz w:val="14"/>
          <w:szCs w:val="14"/>
          <w:b w:val="1"/>
          <w:bCs w:val="1"/>
          <w:color w:val="auto"/>
        </w:rPr>
      </w:pPr>
    </w:p>
    <w:p>
      <w:pPr>
        <w:ind w:left="1200" w:hanging="194"/>
        <w:spacing w:after="0"/>
        <w:tabs>
          <w:tab w:leader="none" w:pos="120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or duties hereunder;</w:t>
      </w:r>
    </w:p>
    <w:p>
      <w:pPr>
        <w:spacing w:after="0" w:line="173" w:lineRule="exact"/>
        <w:rPr>
          <w:rFonts w:ascii="Times New Roman" w:cs="Times New Roman" w:eastAsia="Times New Roman" w:hAnsi="Times New Roman"/>
          <w:sz w:val="14"/>
          <w:szCs w:val="14"/>
          <w:b w:val="1"/>
          <w:bCs w:val="1"/>
          <w:color w:val="auto"/>
        </w:rPr>
      </w:pPr>
    </w:p>
    <w:p>
      <w:pPr>
        <w:ind w:left="1240" w:hanging="234"/>
        <w:spacing w:after="0"/>
        <w:tabs>
          <w:tab w:leader="none" w:pos="124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permissive right of the Trustee to do things enumerated in this Indenture shall not be construed as a duty of the Trustee; and</w:t>
      </w:r>
    </w:p>
    <w:p>
      <w:pPr>
        <w:spacing w:after="0" w:line="173" w:lineRule="exact"/>
        <w:rPr>
          <w:rFonts w:ascii="Times New Roman" w:cs="Times New Roman" w:eastAsia="Times New Roman" w:hAnsi="Times New Roman"/>
          <w:sz w:val="14"/>
          <w:szCs w:val="14"/>
          <w:b w:val="1"/>
          <w:bCs w:val="1"/>
          <w:color w:val="auto"/>
        </w:rPr>
      </w:pPr>
    </w:p>
    <w:p>
      <w:pPr>
        <w:ind w:left="240" w:right="539" w:firstLine="766"/>
        <w:spacing w:after="0" w:line="280" w:lineRule="auto"/>
        <w:tabs>
          <w:tab w:leader="none" w:pos="1282"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Trustee shall have any duty or responsibility for any act or omission of any other Trustee appointed with respect to a series of Securities hereunder.</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90" w:lineRule="exact"/>
        <w:rPr>
          <w:sz w:val="20"/>
          <w:szCs w:val="20"/>
          <w:color w:val="auto"/>
        </w:rPr>
      </w:pPr>
    </w:p>
    <w:p>
      <w:pPr>
        <w:jc w:val="both"/>
        <w:ind w:left="240" w:right="299" w:firstLine="766"/>
        <w:spacing w:after="0" w:line="265" w:lineRule="auto"/>
        <w:tabs>
          <w:tab w:leader="none" w:pos="1205"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35" w:lineRule="exact"/>
        <w:rPr>
          <w:rFonts w:ascii="Times New Roman" w:cs="Times New Roman" w:eastAsia="Times New Roman" w:hAnsi="Times New Roman"/>
          <w:sz w:val="14"/>
          <w:szCs w:val="14"/>
          <w:b w:val="1"/>
          <w:bCs w:val="1"/>
          <w:color w:val="auto"/>
        </w:rPr>
      </w:pPr>
    </w:p>
    <w:p>
      <w:pPr>
        <w:ind w:left="240" w:right="299" w:firstLine="766"/>
        <w:spacing w:after="0" w:line="265" w:lineRule="auto"/>
        <w:tabs>
          <w:tab w:leader="none" w:pos="1213"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35" w:lineRule="exact"/>
        <w:rPr>
          <w:rFonts w:ascii="Times New Roman" w:cs="Times New Roman" w:eastAsia="Times New Roman" w:hAnsi="Times New Roman"/>
          <w:sz w:val="14"/>
          <w:szCs w:val="14"/>
          <w:b w:val="1"/>
          <w:bCs w:val="1"/>
          <w:color w:val="auto"/>
        </w:rPr>
      </w:pPr>
    </w:p>
    <w:p>
      <w:pPr>
        <w:ind w:left="240" w:right="359" w:firstLine="766"/>
        <w:spacing w:after="0" w:line="321" w:lineRule="auto"/>
        <w:tabs>
          <w:tab w:leader="none" w:pos="1197" w:val="left"/>
        </w:tabs>
        <w:numPr>
          <w:ilvl w:val="0"/>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106" w:name="page107"/>
    <w:bookmarkEnd w:id="106"/>
    <w:p>
      <w:pPr>
        <w:ind w:left="240" w:right="279" w:firstLine="766"/>
        <w:spacing w:after="0" w:line="279" w:lineRule="auto"/>
        <w:tabs>
          <w:tab w:leader="none" w:pos="1213"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28" w:lineRule="exact"/>
        <w:rPr>
          <w:rFonts w:ascii="Times New Roman" w:cs="Times New Roman" w:eastAsia="Times New Roman" w:hAnsi="Times New Roman"/>
          <w:sz w:val="13"/>
          <w:szCs w:val="13"/>
          <w:b w:val="1"/>
          <w:bCs w:val="1"/>
          <w:color w:val="auto"/>
        </w:rPr>
      </w:pPr>
    </w:p>
    <w:p>
      <w:pPr>
        <w:ind w:left="240" w:right="579" w:firstLine="766"/>
        <w:spacing w:after="0" w:line="280" w:lineRule="auto"/>
        <w:tabs>
          <w:tab w:leader="none" w:pos="1197"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126" w:lineRule="exact"/>
        <w:rPr>
          <w:rFonts w:ascii="Times New Roman" w:cs="Times New Roman" w:eastAsia="Times New Roman" w:hAnsi="Times New Roman"/>
          <w:sz w:val="14"/>
          <w:szCs w:val="14"/>
          <w:b w:val="1"/>
          <w:bCs w:val="1"/>
          <w:color w:val="auto"/>
        </w:rPr>
      </w:pPr>
    </w:p>
    <w:p>
      <w:pPr>
        <w:ind w:left="240" w:right="259" w:firstLine="766"/>
        <w:spacing w:after="0" w:line="253" w:lineRule="auto"/>
        <w:tabs>
          <w:tab w:leader="none" w:pos="1182"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47" w:lineRule="exact"/>
        <w:rPr>
          <w:rFonts w:ascii="Times New Roman" w:cs="Times New Roman" w:eastAsia="Times New Roman" w:hAnsi="Times New Roman"/>
          <w:sz w:val="14"/>
          <w:szCs w:val="14"/>
          <w:b w:val="1"/>
          <w:bCs w:val="1"/>
          <w:color w:val="auto"/>
        </w:rPr>
      </w:pPr>
    </w:p>
    <w:p>
      <w:pPr>
        <w:jc w:val="both"/>
        <w:ind w:left="240" w:right="339" w:firstLine="766"/>
        <w:spacing w:after="0" w:line="265" w:lineRule="auto"/>
        <w:tabs>
          <w:tab w:leader="none" w:pos="1205"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5" w:lineRule="exact"/>
        <w:rPr>
          <w:rFonts w:ascii="Times New Roman" w:cs="Times New Roman" w:eastAsia="Times New Roman" w:hAnsi="Times New Roman"/>
          <w:sz w:val="14"/>
          <w:szCs w:val="14"/>
          <w:b w:val="1"/>
          <w:bCs w:val="1"/>
          <w:color w:val="auto"/>
        </w:rPr>
      </w:pPr>
    </w:p>
    <w:p>
      <w:pPr>
        <w:ind w:left="240" w:right="299" w:firstLine="766"/>
        <w:spacing w:after="0" w:line="257" w:lineRule="auto"/>
        <w:tabs>
          <w:tab w:leader="none" w:pos="1213"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1" w:lineRule="exact"/>
        <w:rPr>
          <w:rFonts w:ascii="Times New Roman" w:cs="Times New Roman" w:eastAsia="Times New Roman" w:hAnsi="Times New Roman"/>
          <w:sz w:val="14"/>
          <w:szCs w:val="14"/>
          <w:b w:val="1"/>
          <w:bCs w:val="1"/>
          <w:color w:val="auto"/>
        </w:rPr>
      </w:pPr>
    </w:p>
    <w:p>
      <w:pPr>
        <w:ind w:left="240" w:right="459" w:firstLine="766"/>
        <w:spacing w:after="0" w:line="265" w:lineRule="auto"/>
        <w:tabs>
          <w:tab w:leader="none" w:pos="1174"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107" w:name="page108"/>
    <w:bookmarkEnd w:id="107"/>
    <w:p>
      <w:pPr>
        <w:ind w:left="240" w:right="259" w:firstLine="766"/>
        <w:spacing w:after="0" w:line="274" w:lineRule="auto"/>
        <w:tabs>
          <w:tab w:leader="none" w:pos="1182"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33" w:lineRule="exact"/>
        <w:rPr>
          <w:rFonts w:ascii="Times New Roman" w:cs="Times New Roman" w:eastAsia="Times New Roman" w:hAnsi="Times New Roman"/>
          <w:sz w:val="13"/>
          <w:szCs w:val="13"/>
          <w:b w:val="1"/>
          <w:bCs w:val="1"/>
          <w:color w:val="auto"/>
        </w:rPr>
      </w:pPr>
    </w:p>
    <w:p>
      <w:pPr>
        <w:ind w:left="240" w:right="679" w:firstLine="766"/>
        <w:spacing w:after="0" w:line="265" w:lineRule="auto"/>
        <w:tabs>
          <w:tab w:leader="none" w:pos="1213"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35" w:lineRule="exact"/>
        <w:rPr>
          <w:rFonts w:ascii="Times New Roman" w:cs="Times New Roman" w:eastAsia="Times New Roman" w:hAnsi="Times New Roman"/>
          <w:sz w:val="14"/>
          <w:szCs w:val="14"/>
          <w:b w:val="1"/>
          <w:bCs w:val="1"/>
          <w:color w:val="auto"/>
        </w:rPr>
      </w:pPr>
    </w:p>
    <w:p>
      <w:pPr>
        <w:ind w:left="240" w:right="299" w:firstLine="766"/>
        <w:spacing w:after="0" w:line="294" w:lineRule="auto"/>
        <w:tabs>
          <w:tab w:leader="none" w:pos="1174"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7.03 Trustee Not Responsible for Recitals or Issuance or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59" w:firstLine="766"/>
        <w:spacing w:after="0" w:line="259" w:lineRule="auto"/>
        <w:tabs>
          <w:tab w:leader="none" w:pos="1205"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41" w:lineRule="exact"/>
        <w:rPr>
          <w:rFonts w:ascii="Times New Roman" w:cs="Times New Roman" w:eastAsia="Times New Roman" w:hAnsi="Times New Roman"/>
          <w:sz w:val="14"/>
          <w:szCs w:val="14"/>
          <w:b w:val="1"/>
          <w:bCs w:val="1"/>
          <w:color w:val="auto"/>
        </w:rPr>
      </w:pPr>
    </w:p>
    <w:p>
      <w:pPr>
        <w:ind w:left="1220" w:hanging="214"/>
        <w:spacing w:after="0"/>
        <w:tabs>
          <w:tab w:leader="none" w:pos="122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73" w:lineRule="exact"/>
        <w:rPr>
          <w:rFonts w:ascii="Times New Roman" w:cs="Times New Roman" w:eastAsia="Times New Roman" w:hAnsi="Times New Roman"/>
          <w:sz w:val="14"/>
          <w:szCs w:val="14"/>
          <w:b w:val="1"/>
          <w:bCs w:val="1"/>
          <w:color w:val="auto"/>
        </w:rPr>
      </w:pPr>
    </w:p>
    <w:p>
      <w:pPr>
        <w:ind w:left="240" w:right="599" w:firstLine="766"/>
        <w:spacing w:after="0" w:line="265" w:lineRule="auto"/>
        <w:tabs>
          <w:tab w:leader="none" w:pos="1197"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108" w:name="page109"/>
    <w:bookmarkEnd w:id="108"/>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7.04 May Hold Securities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80"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766"/>
        <w:spacing w:after="0" w:line="259" w:lineRule="auto"/>
        <w:tabs>
          <w:tab w:leader="none" w:pos="1205"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1" w:lineRule="exact"/>
        <w:rPr>
          <w:rFonts w:ascii="Times New Roman" w:cs="Times New Roman" w:eastAsia="Times New Roman" w:hAnsi="Times New Roman"/>
          <w:sz w:val="14"/>
          <w:szCs w:val="14"/>
          <w:b w:val="1"/>
          <w:bCs w:val="1"/>
          <w:color w:val="auto"/>
        </w:rPr>
      </w:pPr>
    </w:p>
    <w:p>
      <w:pPr>
        <w:ind w:left="240" w:right="379" w:firstLine="766"/>
        <w:spacing w:after="0" w:line="254" w:lineRule="auto"/>
        <w:tabs>
          <w:tab w:leader="none" w:pos="1213"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45" w:lineRule="exact"/>
        <w:rPr>
          <w:rFonts w:ascii="Times New Roman" w:cs="Times New Roman" w:eastAsia="Times New Roman" w:hAnsi="Times New Roman"/>
          <w:sz w:val="14"/>
          <w:szCs w:val="14"/>
          <w:b w:val="1"/>
          <w:bCs w:val="1"/>
          <w:color w:val="auto"/>
        </w:rPr>
      </w:pPr>
    </w:p>
    <w:p>
      <w:pPr>
        <w:ind w:left="240" w:right="599" w:firstLine="766"/>
        <w:spacing w:after="0" w:line="280" w:lineRule="auto"/>
        <w:tabs>
          <w:tab w:leader="none" w:pos="1197"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negligence or bad faith.</w:t>
      </w:r>
    </w:p>
    <w:p>
      <w:pPr>
        <w:spacing w:after="0" w:line="126" w:lineRule="exact"/>
        <w:rPr>
          <w:rFonts w:ascii="Times New Roman" w:cs="Times New Roman" w:eastAsia="Times New Roman" w:hAnsi="Times New Roman"/>
          <w:sz w:val="14"/>
          <w:szCs w:val="14"/>
          <w:b w:val="1"/>
          <w:bCs w:val="1"/>
          <w:color w:val="auto"/>
        </w:rPr>
      </w:pPr>
    </w:p>
    <w:p>
      <w:pPr>
        <w:ind w:left="240" w:right="359" w:firstLine="766"/>
        <w:spacing w:after="0" w:line="257" w:lineRule="auto"/>
        <w:tabs>
          <w:tab w:leader="none" w:pos="1213"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8" w:right="1440" w:bottom="1440" w:gutter="0" w:footer="0" w:header="0"/>
        </w:sectPr>
      </w:pPr>
    </w:p>
    <w:bookmarkStart w:id="109" w:name="page110"/>
    <w:bookmarkEnd w:id="109"/>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7.07 Reliance on Officer’s Certificate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419" w:firstLine="341"/>
        <w:spacing w:after="0" w:line="280"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299" w:firstLine="341"/>
        <w:spacing w:after="0" w:line="286"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24" w:lineRule="exact"/>
        <w:rPr>
          <w:sz w:val="20"/>
          <w:szCs w:val="20"/>
          <w:color w:val="auto"/>
        </w:rPr>
      </w:pPr>
    </w:p>
    <w:p>
      <w:pPr>
        <w:ind w:left="240" w:right="379" w:firstLine="341"/>
        <w:spacing w:after="0" w:line="255"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766"/>
        <w:spacing w:after="0" w:line="257" w:lineRule="auto"/>
        <w:tabs>
          <w:tab w:leader="none" w:pos="1205"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8" w:right="1440" w:bottom="1440" w:gutter="0" w:footer="0" w:header="0"/>
        </w:sectPr>
      </w:pPr>
    </w:p>
    <w:bookmarkStart w:id="110" w:name="page111"/>
    <w:bookmarkEnd w:id="110"/>
    <w:p>
      <w:pPr>
        <w:ind w:left="240" w:right="2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1" w:lineRule="exact"/>
        <w:rPr>
          <w:sz w:val="20"/>
          <w:szCs w:val="20"/>
          <w:color w:val="auto"/>
        </w:rPr>
      </w:pPr>
    </w:p>
    <w:p>
      <w:pPr>
        <w:ind w:left="1220" w:hanging="214"/>
        <w:spacing w:after="0"/>
        <w:tabs>
          <w:tab w:leader="none" w:pos="122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any one of the following shall occur:</w:t>
      </w:r>
    </w:p>
    <w:p>
      <w:pPr>
        <w:spacing w:after="0" w:line="89" w:lineRule="exact"/>
        <w:rPr>
          <w:rFonts w:ascii="Times New Roman" w:cs="Times New Roman" w:eastAsia="Times New Roman" w:hAnsi="Times New Roman"/>
          <w:sz w:val="14"/>
          <w:szCs w:val="14"/>
          <w:b w:val="1"/>
          <w:bCs w:val="1"/>
          <w:color w:val="auto"/>
        </w:rPr>
      </w:pPr>
    </w:p>
    <w:p>
      <w:pPr>
        <w:ind w:left="240" w:right="639" w:firstLine="1107"/>
        <w:spacing w:after="0" w:line="280" w:lineRule="auto"/>
        <w:tabs>
          <w:tab w:leader="none" w:pos="1515" w:val="left"/>
        </w:tabs>
        <w:numPr>
          <w:ilvl w:val="1"/>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26" w:lineRule="exact"/>
        <w:rPr>
          <w:rFonts w:ascii="Times New Roman" w:cs="Times New Roman" w:eastAsia="Times New Roman" w:hAnsi="Times New Roman"/>
          <w:sz w:val="14"/>
          <w:szCs w:val="14"/>
          <w:b w:val="1"/>
          <w:bCs w:val="1"/>
          <w:color w:val="auto"/>
        </w:rPr>
      </w:pPr>
    </w:p>
    <w:p>
      <w:pPr>
        <w:ind w:left="240" w:right="659" w:firstLine="1107"/>
        <w:spacing w:after="0" w:line="280" w:lineRule="auto"/>
        <w:tabs>
          <w:tab w:leader="none" w:pos="1554" w:val="left"/>
        </w:tabs>
        <w:numPr>
          <w:ilvl w:val="1"/>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cease to be eligible in accordance with the provisions of Section 7.09 and shall fail to resign after written request therefor by the Company or by any such Securityholder; or</w:t>
      </w:r>
    </w:p>
    <w:p>
      <w:pPr>
        <w:spacing w:after="0" w:line="126" w:lineRule="exact"/>
        <w:rPr>
          <w:rFonts w:ascii="Times New Roman" w:cs="Times New Roman" w:eastAsia="Times New Roman" w:hAnsi="Times New Roman"/>
          <w:sz w:val="14"/>
          <w:szCs w:val="14"/>
          <w:b w:val="1"/>
          <w:bCs w:val="1"/>
          <w:color w:val="auto"/>
        </w:rPr>
      </w:pPr>
    </w:p>
    <w:p>
      <w:pPr>
        <w:ind w:left="240" w:right="279" w:firstLine="1107"/>
        <w:spacing w:after="0" w:line="265" w:lineRule="auto"/>
        <w:tabs>
          <w:tab w:leader="none" w:pos="1593" w:val="left"/>
        </w:tabs>
        <w:numPr>
          <w:ilvl w:val="1"/>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2" w:lineRule="exact"/>
        <w:rPr>
          <w:sz w:val="20"/>
          <w:szCs w:val="20"/>
          <w:color w:val="auto"/>
        </w:rPr>
      </w:pPr>
    </w:p>
    <w:p>
      <w:pPr>
        <w:ind w:left="240" w:right="259" w:firstLine="766"/>
        <w:spacing w:after="0" w:line="265" w:lineRule="auto"/>
        <w:tabs>
          <w:tab w:leader="none" w:pos="1195"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35" w:lineRule="exact"/>
        <w:rPr>
          <w:rFonts w:ascii="Times New Roman" w:cs="Times New Roman" w:eastAsia="Times New Roman" w:hAnsi="Times New Roman"/>
          <w:sz w:val="14"/>
          <w:szCs w:val="14"/>
          <w:b w:val="1"/>
          <w:bCs w:val="1"/>
          <w:color w:val="auto"/>
        </w:rPr>
      </w:pPr>
    </w:p>
    <w:p>
      <w:pPr>
        <w:ind w:left="240" w:right="379" w:firstLine="766"/>
        <w:spacing w:after="0" w:line="280" w:lineRule="auto"/>
        <w:tabs>
          <w:tab w:leader="none" w:pos="1213"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6" w:lineRule="exact"/>
        <w:rPr>
          <w:rFonts w:ascii="Times New Roman" w:cs="Times New Roman" w:eastAsia="Times New Roman" w:hAnsi="Times New Roman"/>
          <w:sz w:val="14"/>
          <w:szCs w:val="14"/>
          <w:b w:val="1"/>
          <w:bCs w:val="1"/>
          <w:color w:val="auto"/>
        </w:rPr>
      </w:pPr>
    </w:p>
    <w:p>
      <w:pPr>
        <w:ind w:left="240" w:right="319" w:firstLine="766"/>
        <w:spacing w:after="0" w:line="280" w:lineRule="auto"/>
        <w:tabs>
          <w:tab w:leader="none" w:pos="1197"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111" w:name="page112"/>
    <w:bookmarkEnd w:id="111"/>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7.11 Acceptance of Appointment By Successor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79" w:firstLine="766"/>
        <w:spacing w:after="0" w:line="254" w:lineRule="auto"/>
        <w:tabs>
          <w:tab w:leader="none" w:pos="1205"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5" w:lineRule="exact"/>
        <w:rPr>
          <w:rFonts w:ascii="Times New Roman" w:cs="Times New Roman" w:eastAsia="Times New Roman" w:hAnsi="Times New Roman"/>
          <w:sz w:val="14"/>
          <w:szCs w:val="14"/>
          <w:b w:val="1"/>
          <w:bCs w:val="1"/>
          <w:color w:val="auto"/>
        </w:rPr>
      </w:pPr>
    </w:p>
    <w:p>
      <w:pPr>
        <w:ind w:left="240" w:right="339" w:firstLine="766"/>
        <w:spacing w:after="0" w:line="251" w:lineRule="auto"/>
        <w:tabs>
          <w:tab w:leader="none" w:pos="1213"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46" w:lineRule="exact"/>
        <w:rPr>
          <w:rFonts w:ascii="Times New Roman" w:cs="Times New Roman" w:eastAsia="Times New Roman" w:hAnsi="Times New Roman"/>
          <w:sz w:val="14"/>
          <w:szCs w:val="14"/>
          <w:b w:val="1"/>
          <w:bCs w:val="1"/>
          <w:color w:val="auto"/>
        </w:rPr>
      </w:pPr>
    </w:p>
    <w:p>
      <w:pPr>
        <w:ind w:left="240" w:right="359" w:firstLine="766"/>
        <w:spacing w:after="0" w:line="280" w:lineRule="auto"/>
        <w:tabs>
          <w:tab w:leader="none" w:pos="1197"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8" w:right="1440" w:bottom="1440" w:gutter="0" w:footer="0" w:header="0"/>
        </w:sectPr>
      </w:pPr>
    </w:p>
    <w:bookmarkStart w:id="112" w:name="page113"/>
    <w:bookmarkEnd w:id="112"/>
    <w:p>
      <w:pPr>
        <w:ind w:left="240" w:right="479" w:firstLine="766"/>
        <w:spacing w:after="0" w:line="280" w:lineRule="auto"/>
        <w:tabs>
          <w:tab w:leader="none" w:pos="1213"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126" w:lineRule="exact"/>
        <w:rPr>
          <w:rFonts w:ascii="Times New Roman" w:cs="Times New Roman" w:eastAsia="Times New Roman" w:hAnsi="Times New Roman"/>
          <w:sz w:val="14"/>
          <w:szCs w:val="14"/>
          <w:b w:val="1"/>
          <w:bCs w:val="1"/>
          <w:color w:val="auto"/>
        </w:rPr>
      </w:pPr>
    </w:p>
    <w:p>
      <w:pPr>
        <w:jc w:val="both"/>
        <w:ind w:left="240" w:right="299" w:firstLine="766"/>
        <w:spacing w:after="0" w:line="265" w:lineRule="auto"/>
        <w:tabs>
          <w:tab w:leader="none" w:pos="1197"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479" w:firstLine="341"/>
        <w:spacing w:after="0" w:line="265"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8</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2" w:lineRule="exact"/>
        <w:rPr>
          <w:sz w:val="20"/>
          <w:szCs w:val="20"/>
          <w:color w:val="auto"/>
        </w:rPr>
      </w:pPr>
    </w:p>
    <w:p>
      <w:pPr>
        <w:ind w:left="240" w:right="319" w:firstLine="341"/>
        <w:spacing w:after="0" w:line="252"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80"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43" w:lineRule="exact"/>
        <w:rPr>
          <w:sz w:val="20"/>
          <w:szCs w:val="20"/>
          <w:color w:val="auto"/>
        </w:rPr>
      </w:pPr>
    </w:p>
    <w:p>
      <w:pPr>
        <w:ind w:left="1200" w:hanging="194"/>
        <w:spacing w:after="0"/>
        <w:tabs>
          <w:tab w:leader="none" w:pos="120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Trustee.</w:t>
      </w:r>
    </w:p>
    <w:p>
      <w:pPr>
        <w:spacing w:after="0" w:line="159" w:lineRule="exact"/>
        <w:rPr>
          <w:sz w:val="20"/>
          <w:szCs w:val="20"/>
          <w:color w:val="auto"/>
        </w:rPr>
      </w:pPr>
    </w:p>
    <w:p>
      <w:pPr>
        <w:ind w:left="1220" w:hanging="214"/>
        <w:spacing w:after="0"/>
        <w:tabs>
          <w:tab w:leader="none" w:pos="122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thereof.</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8" w:right="1440" w:bottom="1440" w:gutter="0" w:footer="0" w:header="0"/>
        </w:sectPr>
      </w:pPr>
    </w:p>
    <w:bookmarkStart w:id="114" w:name="page115"/>
    <w:bookmarkEnd w:id="114"/>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8.03 Who May be Deemed Owners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39" w:firstLine="341"/>
        <w:spacing w:after="0" w:line="255"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8.04 Certain Securities Owned by Company Disregarded</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341"/>
        <w:spacing w:after="0" w:line="253"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8"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9</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52" w:lineRule="exact"/>
        <w:rPr>
          <w:sz w:val="20"/>
          <w:szCs w:val="20"/>
          <w:color w:val="auto"/>
        </w:rPr>
      </w:pPr>
    </w:p>
    <w:p>
      <w:pPr>
        <w:ind w:left="1200" w:hanging="194"/>
        <w:spacing w:after="0"/>
        <w:tabs>
          <w:tab w:leader="none" w:pos="120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73" w:lineRule="exact"/>
        <w:rPr>
          <w:rFonts w:ascii="Times New Roman" w:cs="Times New Roman" w:eastAsia="Times New Roman" w:hAnsi="Times New Roman"/>
          <w:sz w:val="14"/>
          <w:szCs w:val="14"/>
          <w:b w:val="1"/>
          <w:bCs w:val="1"/>
          <w:color w:val="auto"/>
        </w:rPr>
      </w:pPr>
    </w:p>
    <w:p>
      <w:pPr>
        <w:ind w:left="1220" w:hanging="214"/>
        <w:spacing w:after="0"/>
        <w:tabs>
          <w:tab w:leader="none" w:pos="122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Article Ten;</w:t>
      </w:r>
    </w:p>
    <w:p>
      <w:pPr>
        <w:spacing w:after="0" w:line="173" w:lineRule="exact"/>
        <w:rPr>
          <w:rFonts w:ascii="Times New Roman" w:cs="Times New Roman" w:eastAsia="Times New Roman" w:hAnsi="Times New Roman"/>
          <w:sz w:val="14"/>
          <w:szCs w:val="14"/>
          <w:b w:val="1"/>
          <w:bCs w:val="1"/>
          <w:color w:val="auto"/>
        </w:rPr>
      </w:pPr>
    </w:p>
    <w:p>
      <w:pPr>
        <w:ind w:left="1200" w:hanging="194"/>
        <w:spacing w:after="0"/>
        <w:tabs>
          <w:tab w:leader="none" w:pos="120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73" w:lineRule="exact"/>
        <w:rPr>
          <w:rFonts w:ascii="Times New Roman" w:cs="Times New Roman" w:eastAsia="Times New Roman" w:hAnsi="Times New Roman"/>
          <w:sz w:val="14"/>
          <w:szCs w:val="14"/>
          <w:b w:val="1"/>
          <w:bCs w:val="1"/>
          <w:color w:val="auto"/>
        </w:rPr>
      </w:pPr>
    </w:p>
    <w:p>
      <w:pPr>
        <w:ind w:left="240" w:right="339" w:firstLine="766"/>
        <w:spacing w:after="0" w:line="257" w:lineRule="auto"/>
        <w:tabs>
          <w:tab w:leader="none" w:pos="1213"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1" w:lineRule="exact"/>
        <w:rPr>
          <w:rFonts w:ascii="Times New Roman" w:cs="Times New Roman" w:eastAsia="Times New Roman" w:hAnsi="Times New Roman"/>
          <w:sz w:val="14"/>
          <w:szCs w:val="14"/>
          <w:b w:val="1"/>
          <w:bCs w:val="1"/>
          <w:color w:val="auto"/>
        </w:rPr>
      </w:pPr>
    </w:p>
    <w:p>
      <w:pPr>
        <w:ind w:left="240" w:right="619" w:firstLine="766"/>
        <w:spacing w:after="0" w:line="280" w:lineRule="auto"/>
        <w:tabs>
          <w:tab w:leader="none" w:pos="1197"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126" w:lineRule="exact"/>
        <w:rPr>
          <w:rFonts w:ascii="Times New Roman" w:cs="Times New Roman" w:eastAsia="Times New Roman" w:hAnsi="Times New Roman"/>
          <w:sz w:val="14"/>
          <w:szCs w:val="14"/>
          <w:b w:val="1"/>
          <w:bCs w:val="1"/>
          <w:color w:val="auto"/>
        </w:rPr>
      </w:pPr>
    </w:p>
    <w:p>
      <w:pPr>
        <w:ind w:left="1180" w:hanging="174"/>
        <w:spacing w:after="0"/>
        <w:tabs>
          <w:tab w:leader="none" w:pos="118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73" w:lineRule="exact"/>
        <w:rPr>
          <w:rFonts w:ascii="Times New Roman" w:cs="Times New Roman" w:eastAsia="Times New Roman" w:hAnsi="Times New Roman"/>
          <w:sz w:val="14"/>
          <w:szCs w:val="14"/>
          <w:b w:val="1"/>
          <w:bCs w:val="1"/>
          <w:color w:val="auto"/>
        </w:rPr>
      </w:pPr>
    </w:p>
    <w:p>
      <w:pPr>
        <w:ind w:left="1200" w:hanging="194"/>
        <w:spacing w:after="0"/>
        <w:tabs>
          <w:tab w:leader="none" w:pos="120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w:t>
      </w:r>
    </w:p>
    <w:p>
      <w:pPr>
        <w:spacing w:after="0" w:line="21" w:lineRule="exact"/>
        <w:rPr>
          <w:sz w:val="20"/>
          <w:szCs w:val="20"/>
          <w:color w:val="auto"/>
        </w:rPr>
      </w:pPr>
    </w:p>
    <w:p>
      <w:pPr>
        <w:ind w:left="240" w:right="379"/>
        <w:spacing w:after="0" w:line="258" w:lineRule="auto"/>
        <w:rPr>
          <w:sz w:val="20"/>
          <w:szCs w:val="20"/>
          <w:color w:val="auto"/>
        </w:rPr>
      </w:pPr>
      <w:r>
        <w:rPr>
          <w:rFonts w:ascii="Times New Roman" w:cs="Times New Roman" w:eastAsia="Times New Roman" w:hAnsi="Times New Roman"/>
          <w:sz w:val="14"/>
          <w:szCs w:val="14"/>
          <w:color w:val="auto"/>
        </w:rPr>
        <w:t>Section 2.01, to establish the form of any certifications required to be furnished pursuant to the terms of this Indenture or any series of Securities, or to add to the rights of the holders of any series of Securities;</w:t>
      </w:r>
    </w:p>
    <w:p>
      <w:pPr>
        <w:spacing w:after="0" w:line="141" w:lineRule="exact"/>
        <w:rPr>
          <w:sz w:val="20"/>
          <w:szCs w:val="20"/>
          <w:color w:val="auto"/>
        </w:rPr>
      </w:pPr>
    </w:p>
    <w:p>
      <w:pPr>
        <w:ind w:left="1220" w:hanging="214"/>
        <w:spacing w:after="0"/>
        <w:tabs>
          <w:tab w:leader="none" w:pos="122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173" w:lineRule="exact"/>
        <w:rPr>
          <w:rFonts w:ascii="Times New Roman" w:cs="Times New Roman" w:eastAsia="Times New Roman" w:hAnsi="Times New Roman"/>
          <w:sz w:val="14"/>
          <w:szCs w:val="14"/>
          <w:b w:val="1"/>
          <w:bCs w:val="1"/>
          <w:color w:val="auto"/>
        </w:rPr>
      </w:pPr>
    </w:p>
    <w:p>
      <w:pPr>
        <w:ind w:left="240" w:right="419" w:firstLine="766"/>
        <w:spacing w:after="0" w:line="280" w:lineRule="auto"/>
        <w:tabs>
          <w:tab w:leader="none" w:pos="1174"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8" w:right="1440" w:bottom="1440" w:gutter="0" w:footer="0" w:header="0"/>
        </w:sectPr>
      </w:pPr>
    </w:p>
    <w:bookmarkStart w:id="116" w:name="page117"/>
    <w:bookmarkEnd w:id="116"/>
    <w:p>
      <w:pPr>
        <w:jc w:val="both"/>
        <w:ind w:left="240" w:right="739" w:firstLine="34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6" w:lineRule="exact"/>
        <w:rPr>
          <w:sz w:val="20"/>
          <w:szCs w:val="20"/>
          <w:color w:val="auto"/>
        </w:rPr>
      </w:pPr>
    </w:p>
    <w:p>
      <w:pPr>
        <w:ind w:left="240" w:right="319" w:firstLine="341"/>
        <w:spacing w:after="0" w:line="280"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5" w:lineRule="exact"/>
        <w:rPr>
          <w:sz w:val="20"/>
          <w:szCs w:val="20"/>
          <w:color w:val="auto"/>
        </w:rPr>
      </w:pPr>
    </w:p>
    <w:p>
      <w:pPr>
        <w:ind w:left="240" w:right="399" w:firstLine="341"/>
        <w:spacing w:after="0" w:line="280"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79" w:firstLine="341"/>
        <w:spacing w:after="0" w:line="255"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117" w:name="page118"/>
    <w:bookmarkEnd w:id="117"/>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9.05 Execution of Supplemental Indentures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76"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30" w:lineRule="exact"/>
        <w:rPr>
          <w:sz w:val="20"/>
          <w:szCs w:val="20"/>
          <w:color w:val="auto"/>
        </w:rPr>
      </w:pPr>
    </w:p>
    <w:p>
      <w:pPr>
        <w:ind w:left="240" w:right="339" w:firstLine="341"/>
        <w:spacing w:after="0" w:line="286" w:lineRule="auto"/>
        <w:rPr>
          <w:sz w:val="20"/>
          <w:szCs w:val="20"/>
          <w:color w:val="auto"/>
        </w:rPr>
      </w:pPr>
      <w:r>
        <w:rPr>
          <w:rFonts w:ascii="Times New Roman" w:cs="Times New Roman" w:eastAsia="Times New Roman" w:hAnsi="Times New Roman"/>
          <w:sz w:val="13"/>
          <w:szCs w:val="13"/>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176"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8" w:right="1440" w:bottom="1440" w:gutter="0" w:footer="0" w:header="0"/>
        </w:sectPr>
      </w:pPr>
    </w:p>
    <w:bookmarkStart w:id="118" w:name="page119"/>
    <w:bookmarkEnd w:id="118"/>
    <w:p>
      <w:pPr>
        <w:ind w:left="240" w:right="3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766"/>
        <w:spacing w:after="0" w:line="257" w:lineRule="auto"/>
        <w:tabs>
          <w:tab w:leader="none" w:pos="1205"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1" w:lineRule="exact"/>
        <w:rPr>
          <w:rFonts w:ascii="Times New Roman" w:cs="Times New Roman" w:eastAsia="Times New Roman" w:hAnsi="Times New Roman"/>
          <w:sz w:val="14"/>
          <w:szCs w:val="14"/>
          <w:b w:val="1"/>
          <w:bCs w:val="1"/>
          <w:color w:val="auto"/>
        </w:rPr>
      </w:pPr>
    </w:p>
    <w:p>
      <w:pPr>
        <w:ind w:left="240" w:right="399" w:firstLine="766"/>
        <w:spacing w:after="0" w:line="280" w:lineRule="auto"/>
        <w:tabs>
          <w:tab w:leader="none" w:pos="1213"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26" w:lineRule="exact"/>
        <w:rPr>
          <w:rFonts w:ascii="Times New Roman" w:cs="Times New Roman" w:eastAsia="Times New Roman" w:hAnsi="Times New Roman"/>
          <w:sz w:val="14"/>
          <w:szCs w:val="14"/>
          <w:b w:val="1"/>
          <w:bCs w:val="1"/>
          <w:color w:val="auto"/>
        </w:rPr>
      </w:pPr>
    </w:p>
    <w:p>
      <w:pPr>
        <w:ind w:left="240" w:right="359" w:firstLine="766"/>
        <w:spacing w:after="0" w:line="265" w:lineRule="auto"/>
        <w:tabs>
          <w:tab w:leader="none" w:pos="1197"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2" w:lineRule="exact"/>
        <w:rPr>
          <w:sz w:val="20"/>
          <w:szCs w:val="20"/>
          <w:color w:val="auto"/>
        </w:rPr>
      </w:pPr>
    </w:p>
    <w:p>
      <w:pPr>
        <w:ind w:left="240" w:right="379" w:hanging="2"/>
        <w:spacing w:after="0" w:line="251" w:lineRule="auto"/>
        <w:tabs>
          <w:tab w:leader="none" w:pos="43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0" w:right="1440" w:bottom="1440" w:gutter="0" w:footer="0" w:header="0"/>
        </w:sectPr>
      </w:pPr>
    </w:p>
    <w:bookmarkStart w:id="119" w:name="page120"/>
    <w:bookmarkEnd w:id="119"/>
    <w:p>
      <w:pPr>
        <w:ind w:left="240" w:right="339"/>
        <w:spacing w:after="0" w:line="27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39" w:firstLine="341"/>
        <w:spacing w:after="0" w:line="294" w:lineRule="auto"/>
        <w:rPr>
          <w:sz w:val="20"/>
          <w:szCs w:val="20"/>
          <w:color w:val="auto"/>
        </w:rPr>
      </w:pPr>
      <w:r>
        <w:rPr>
          <w:rFonts w:ascii="Times New Roman" w:cs="Times New Roman" w:eastAsia="Times New Roman" w:hAnsi="Times New Roman"/>
          <w:sz w:val="13"/>
          <w:szCs w:val="13"/>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120" w:name="page121"/>
    <w:bookmarkEnd w:id="120"/>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11.05 Repayment to Company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59" w:firstLine="341"/>
        <w:spacing w:after="0" w:line="277"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 DIRECTORS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12.01 No Recourse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8"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13</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559" w:firstLine="341"/>
        <w:spacing w:after="0" w:line="280"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299" w:firstLine="341"/>
        <w:spacing w:after="0" w:line="321"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13.04 Notices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-236855</wp:posOffset>
            </wp:positionV>
            <wp:extent cx="176974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1769745" cy="6350"/>
                    </a:xfrm>
                    <a:prstGeom prst="rect">
                      <a:avLst/>
                    </a:prstGeom>
                    <a:noFill/>
                  </pic:spPr>
                </pic:pic>
              </a:graphicData>
            </a:graphic>
          </wp:anchor>
        </w:drawing>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13.05 Governing Law; Jury Trial Waiver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80" w:lineRule="auto"/>
        <w:rPr>
          <w:sz w:val="20"/>
          <w:szCs w:val="20"/>
          <w:color w:val="auto"/>
        </w:rPr>
      </w:pPr>
      <w:r>
        <w:rPr>
          <w:rFonts w:ascii="Times New Roman" w:cs="Times New Roman" w:eastAsia="Times New Roman" w:hAnsi="Times New Roman"/>
          <w:sz w:val="14"/>
          <w:szCs w:val="14"/>
          <w:color w:val="auto"/>
        </w:rPr>
        <w:t>This Indenture and each Security shall be governed by, and construed in accordance with, the internal laws of the State of New York, except to the extent that the Trust Indenture Act is applicable.</w:t>
      </w:r>
    </w:p>
    <w:p>
      <w:pPr>
        <w:spacing w:after="0" w:line="126" w:lineRule="exact"/>
        <w:rPr>
          <w:sz w:val="20"/>
          <w:szCs w:val="20"/>
          <w:color w:val="auto"/>
        </w:rPr>
      </w:pPr>
    </w:p>
    <w:p>
      <w:pPr>
        <w:ind w:left="240" w:right="379" w:firstLine="341"/>
        <w:spacing w:after="0" w:line="265"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8" w:right="1440" w:bottom="1440" w:gutter="0" w:footer="0" w:header="0"/>
        </w:sectPr>
      </w:pPr>
    </w:p>
    <w:bookmarkStart w:id="122" w:name="page123"/>
    <w:bookmarkEnd w:id="122"/>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13.06 Treatment of Securities as Debt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80"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766"/>
        <w:spacing w:after="0" w:line="255" w:lineRule="auto"/>
        <w:tabs>
          <w:tab w:leader="none" w:pos="1205" w:val="left"/>
        </w:tabs>
        <w:numPr>
          <w:ilvl w:val="1"/>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4" w:lineRule="exact"/>
        <w:rPr>
          <w:rFonts w:ascii="Times New Roman" w:cs="Times New Roman" w:eastAsia="Times New Roman" w:hAnsi="Times New Roman"/>
          <w:sz w:val="14"/>
          <w:szCs w:val="14"/>
          <w:b w:val="1"/>
          <w:bCs w:val="1"/>
          <w:color w:val="auto"/>
        </w:rPr>
      </w:pPr>
    </w:p>
    <w:p>
      <w:pPr>
        <w:ind w:left="240" w:right="339" w:firstLine="766"/>
        <w:spacing w:after="0" w:line="274" w:lineRule="auto"/>
        <w:tabs>
          <w:tab w:leader="none" w:pos="1213" w:val="left"/>
        </w:tabs>
        <w:numPr>
          <w:ilvl w:val="1"/>
          <w:numId w:val="9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1" w:lineRule="exact"/>
        <w:rPr>
          <w:rFonts w:ascii="Times New Roman" w:cs="Times New Roman" w:eastAsia="Times New Roman" w:hAnsi="Times New Roman"/>
          <w:sz w:val="13"/>
          <w:szCs w:val="13"/>
          <w:b w:val="1"/>
          <w:bCs w:val="1"/>
          <w:color w:val="auto"/>
        </w:rPr>
      </w:pPr>
    </w:p>
    <w:p>
      <w:pPr>
        <w:ind w:left="240" w:right="299" w:hanging="2"/>
        <w:spacing w:after="0" w:line="254" w:lineRule="auto"/>
        <w:tabs>
          <w:tab w:leader="none" w:pos="484"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38" w:right="1440" w:bottom="1440" w:gutter="0" w:footer="0" w:header="0"/>
        </w:sectPr>
      </w:pPr>
    </w:p>
    <w:bookmarkStart w:id="123" w:name="page124"/>
    <w:bookmarkEnd w:id="123"/>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13.09 Conflict with Trust Indenture Act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759" w:firstLine="341"/>
        <w:spacing w:after="0" w:line="280"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 318(c) of the Trust Indenture Act, such imposed duties shall control.</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13.10 Counterparts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99" w:firstLine="341"/>
        <w:spacing w:after="0" w:line="259"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13.11 Separability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both"/>
        <w:ind w:left="240" w:right="439" w:firstLine="341"/>
        <w:spacing w:after="0" w:line="259"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13.13 U.S.A Patriot Act</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8" w:right="1440" w:bottom="1440" w:gutter="0" w:footer="0" w:header="0"/>
        </w:sectPr>
      </w:pPr>
    </w:p>
    <w:bookmarkStart w:id="124" w:name="page125"/>
    <w:bookmarkEnd w:id="124"/>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13.14 Force Majeure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40" w:right="339" w:firstLine="341"/>
        <w:spacing w:after="0" w:line="255" w:lineRule="auto"/>
        <w:rPr>
          <w:sz w:val="20"/>
          <w:szCs w:val="20"/>
          <w:color w:val="auto"/>
        </w:rPr>
      </w:pPr>
      <w:r>
        <w:rPr>
          <w:rFonts w:ascii="Times New Roman" w:cs="Times New Roman" w:eastAsia="Times New Roman" w:hAnsi="Times New Roman"/>
          <w:sz w:val="14"/>
          <w:szCs w:val="14"/>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Section 13.15 Table of Contents; Headings.</w:t>
      </w:r>
    </w:p>
    <w:p>
      <w:pPr>
        <w:spacing w:after="0" w:line="176" w:lineRule="exact"/>
        <w:rPr>
          <w:sz w:val="20"/>
          <w:szCs w:val="20"/>
          <w:color w:val="auto"/>
        </w:rPr>
      </w:pPr>
    </w:p>
    <w:p>
      <w:pPr>
        <w:ind w:left="240" w:right="599" w:firstLine="341"/>
        <w:spacing w:after="0" w:line="280"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8" w:right="1440" w:bottom="1440" w:gutter="0" w:footer="0" w:header="0"/>
        </w:sectPr>
      </w:pPr>
    </w:p>
    <w:bookmarkStart w:id="125" w:name="page126"/>
    <w:bookmarkEnd w:id="125"/>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parties hereto have caused this Indenture to be duly executed all as of the day and year first above written.</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ANNEXON, INC.</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190563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17145</wp:posOffset>
            </wp:positionV>
            <wp:extent cx="190563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1905635" cy="635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-95250</wp:posOffset>
            </wp:positionV>
            <wp:extent cx="190563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trustee</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190563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17145</wp:posOffset>
            </wp:positionV>
            <wp:extent cx="190563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1905635" cy="635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-95250</wp:posOffset>
            </wp:positionV>
            <wp:extent cx="190563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8" w:right="1440" w:bottom="1440" w:gutter="0" w:footer="0" w:header="0"/>
        </w:sectPr>
      </w:pPr>
    </w:p>
    <w:bookmarkStart w:id="126" w:name="page127"/>
    <w:bookmarkEnd w:id="126"/>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CROSS-REFERENCE TABLE (1)</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54"/>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Section of Trust Indenture Act of 1939, as Amended</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1"/>
                <w:szCs w:val="11"/>
                <w:b w:val="1"/>
                <w:bCs w:val="1"/>
                <w:color w:val="auto"/>
              </w:rPr>
              <w:t>Section of Indenture</w:t>
            </w:r>
          </w:p>
        </w:tc>
      </w:tr>
      <w:tr>
        <w:trPr>
          <w:trHeight w:val="133"/>
        </w:trPr>
        <w:tc>
          <w:tcPr>
            <w:tcW w:w="24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310(a)</w:t>
            </w:r>
          </w:p>
        </w:tc>
        <w:tc>
          <w:tcPr>
            <w:tcW w:w="1960" w:type="dxa"/>
            <w:vAlign w:val="bottom"/>
          </w:tcPr>
          <w:p>
            <w:pPr>
              <w:spacing w:after="0"/>
              <w:rPr>
                <w:sz w:val="11"/>
                <w:szCs w:val="11"/>
                <w:color w:val="auto"/>
              </w:rPr>
            </w:pPr>
          </w:p>
        </w:tc>
        <w:tc>
          <w:tcPr>
            <w:tcW w:w="41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7.09</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7.08</w:t>
            </w:r>
          </w:p>
        </w:tc>
      </w:tr>
      <w:tr>
        <w:trPr>
          <w:trHeight w:val="167"/>
        </w:trPr>
        <w:tc>
          <w:tcPr>
            <w:tcW w:w="2480" w:type="dxa"/>
            <w:vAlign w:val="bottom"/>
          </w:tcPr>
          <w:p>
            <w:pPr>
              <w:spacing w:after="0"/>
              <w:rPr>
                <w:sz w:val="14"/>
                <w:szCs w:val="14"/>
                <w:color w:val="auto"/>
              </w:rPr>
            </w:pP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7.10</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7.13</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7.13</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5.01</w:t>
            </w:r>
          </w:p>
        </w:tc>
      </w:tr>
      <w:tr>
        <w:trPr>
          <w:trHeight w:val="167"/>
        </w:trPr>
        <w:tc>
          <w:tcPr>
            <w:tcW w:w="2480" w:type="dxa"/>
            <w:vAlign w:val="bottom"/>
          </w:tcPr>
          <w:p>
            <w:pPr>
              <w:spacing w:after="0"/>
              <w:rPr>
                <w:sz w:val="14"/>
                <w:szCs w:val="14"/>
                <w:color w:val="auto"/>
              </w:rPr>
            </w:pP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5.02(a)</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5.02(c)</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5.02(c)</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5.04(a)</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313(b)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5.04(b)</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5.04(a)</w:t>
            </w:r>
          </w:p>
        </w:tc>
      </w:tr>
      <w:tr>
        <w:trPr>
          <w:trHeight w:val="167"/>
        </w:trPr>
        <w:tc>
          <w:tcPr>
            <w:tcW w:w="2480" w:type="dxa"/>
            <w:vAlign w:val="bottom"/>
          </w:tcPr>
          <w:p>
            <w:pPr>
              <w:spacing w:after="0"/>
              <w:rPr>
                <w:sz w:val="14"/>
                <w:szCs w:val="14"/>
                <w:color w:val="auto"/>
              </w:rPr>
            </w:pP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5.04(b)</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5.04(c)</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5.03</w:t>
            </w:r>
          </w:p>
        </w:tc>
      </w:tr>
      <w:tr>
        <w:trPr>
          <w:trHeight w:val="167"/>
        </w:trPr>
        <w:tc>
          <w:tcPr>
            <w:tcW w:w="2480" w:type="dxa"/>
            <w:vAlign w:val="bottom"/>
          </w:tcPr>
          <w:p>
            <w:pPr>
              <w:spacing w:after="0"/>
              <w:rPr>
                <w:sz w:val="14"/>
                <w:szCs w:val="14"/>
                <w:color w:val="auto"/>
              </w:rPr>
            </w:pP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13.12</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13.07(a)</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13.07(b)</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7.01(a)</w:t>
            </w:r>
          </w:p>
        </w:tc>
      </w:tr>
      <w:tr>
        <w:trPr>
          <w:trHeight w:val="167"/>
        </w:trPr>
        <w:tc>
          <w:tcPr>
            <w:tcW w:w="2480" w:type="dxa"/>
            <w:vAlign w:val="bottom"/>
          </w:tcPr>
          <w:p>
            <w:pPr>
              <w:spacing w:after="0"/>
              <w:rPr>
                <w:sz w:val="14"/>
                <w:szCs w:val="14"/>
                <w:color w:val="auto"/>
              </w:rPr>
            </w:pP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7.01(b)</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7.14</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7.01</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7.01(b)</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6.07</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6.06</w:t>
            </w:r>
          </w:p>
        </w:tc>
      </w:tr>
      <w:tr>
        <w:trPr>
          <w:trHeight w:val="167"/>
        </w:trPr>
        <w:tc>
          <w:tcPr>
            <w:tcW w:w="2480" w:type="dxa"/>
            <w:vAlign w:val="bottom"/>
          </w:tcPr>
          <w:p>
            <w:pPr>
              <w:spacing w:after="0"/>
              <w:rPr>
                <w:sz w:val="14"/>
                <w:szCs w:val="14"/>
                <w:color w:val="auto"/>
              </w:rPr>
            </w:pP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8.04</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6.04</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8.01</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6.02</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4.03</w:t>
            </w:r>
          </w:p>
        </w:tc>
      </w:tr>
      <w:tr>
        <w:trPr>
          <w:trHeight w:val="18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60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73025</wp:posOffset>
            </wp:positionV>
            <wp:extent cx="5905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111" w:lineRule="exact"/>
        <w:rPr>
          <w:sz w:val="20"/>
          <w:szCs w:val="20"/>
          <w:color w:val="auto"/>
        </w:rPr>
      </w:pPr>
    </w:p>
    <w:p>
      <w:pPr>
        <w:ind w:left="580" w:right="539" w:hanging="342"/>
        <w:spacing w:after="0" w:line="280" w:lineRule="auto"/>
        <w:tabs>
          <w:tab w:leader="none" w:pos="5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8" w:right="1440" w:bottom="1440" w:gutter="0" w:footer="0" w:header="0"/>
        </w:sectPr>
      </w:pPr>
    </w:p>
    <w:bookmarkStart w:id="127" w:name="page128"/>
    <w:bookmarkEnd w:id="127"/>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ANNEXON, INC.</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__________</w:t>
      </w:r>
    </w:p>
    <w:p>
      <w:pPr>
        <w:sectPr>
          <w:pgSz w:w="11900" w:h="16838" w:orient="portrait"/>
          <w:cols w:equalWidth="0" w:num="1">
            <w:col w:w="9019"/>
          </w:cols>
          <w:pgMar w:left="1440" w:top="123"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w:t>
      </w:r>
      <w:r>
        <w:rPr>
          <w:rFonts w:ascii="Times New Roman" w:cs="Times New Roman" w:eastAsia="Times New Roman" w:hAnsi="Times New Roman"/>
          <w:sz w:val="11"/>
          <w:szCs w:val="11"/>
          <w:b w:val="1"/>
          <w:bCs w:val="1"/>
          <w:color w:val="auto"/>
        </w:rPr>
        <w:t>NNEXON</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4" w:lineRule="exact"/>
        <w:rPr>
          <w:sz w:val="20"/>
          <w:szCs w:val="20"/>
          <w:color w:val="auto"/>
        </w:rPr>
      </w:pPr>
    </w:p>
    <w:p>
      <w:pPr>
        <w:jc w:val="both"/>
        <w:ind w:left="240" w:right="43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NNEXON</w:t>
      </w:r>
      <w:r>
        <w:rPr>
          <w:rFonts w:ascii="Times New Roman" w:cs="Times New Roman" w:eastAsia="Times New Roman" w:hAnsi="Times New Roman"/>
          <w:sz w:val="14"/>
          <w:szCs w:val="14"/>
          <w:b w:val="1"/>
          <w:bCs w:val="1"/>
          <w:color w:val="auto"/>
        </w:rPr>
        <w:t>, IN</w:t>
      </w:r>
      <w:r>
        <w:rPr>
          <w:rFonts w:ascii="Times New Roman" w:cs="Times New Roman" w:eastAsia="Times New Roman" w:hAnsi="Times New Roman"/>
          <w:sz w:val="11"/>
          <w:szCs w:val="11"/>
          <w:b w:val="1"/>
          <w:bCs w:val="1"/>
          <w:color w:val="auto"/>
        </w:rPr>
        <w:t>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Delaware corporation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[If Warrants are sold with other securities —[title of such other securities being offered] (the “</w:t>
      </w:r>
      <w:r>
        <w:rPr>
          <w:rFonts w:ascii="Times New Roman" w:cs="Times New Roman" w:eastAsia="Times New Roman" w:hAnsi="Times New Roman"/>
          <w:sz w:val="14"/>
          <w:szCs w:val="14"/>
          <w:b w:val="1"/>
          <w:bCs w:val="1"/>
          <w:i w:val="1"/>
          <w:iCs w:val="1"/>
          <w:color w:val="auto"/>
        </w:rPr>
        <w:t>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with] warrant certificates 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Stock of the Company, par value $0.001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9" w:lineRule="exact"/>
        <w:rPr>
          <w:sz w:val="20"/>
          <w:szCs w:val="20"/>
          <w:color w:val="auto"/>
        </w:rPr>
      </w:pPr>
    </w:p>
    <w:p>
      <w:pPr>
        <w:ind w:left="240" w:right="49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3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57" w:lineRule="exact"/>
        <w:rPr>
          <w:sz w:val="20"/>
          <w:szCs w:val="20"/>
          <w:color w:val="auto"/>
        </w:rPr>
      </w:pPr>
    </w:p>
    <w:p>
      <w:pPr>
        <w:ind w:left="240" w:right="259" w:firstLine="341"/>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1.1 Issuance of Warrants.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If Warrants alone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—Upon issuance, each Warrant Certificate shall evidence one or more Warrants.] [</w:t>
      </w:r>
      <w:r>
        <w:rPr>
          <w:rFonts w:ascii="Times New Roman" w:cs="Times New Roman" w:eastAsia="Times New Roman" w:hAnsi="Times New Roman"/>
          <w:sz w:val="13"/>
          <w:szCs w:val="13"/>
          <w:b w:val="1"/>
          <w:bCs w:val="1"/>
          <w:i w:val="1"/>
          <w:iCs w:val="1"/>
          <w:color w:val="auto"/>
        </w:rPr>
        <w:t>If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 xml:space="preserve">Securities and Warrants </w:t>
      </w:r>
      <w:r>
        <w:rPr>
          <w:rFonts w:ascii="Times New Roman" w:cs="Times New Roman" w:eastAsia="Times New Roman" w:hAnsi="Times New Roman"/>
          <w:sz w:val="13"/>
          <w:szCs w:val="13"/>
          <w:color w:val="auto"/>
        </w:rPr>
        <w:t>—Warrant Certificates will be issued in connection with the issuance of the Other Securities but shall be separately transferable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3"/>
          <w:szCs w:val="13"/>
          <w:b w:val="1"/>
          <w:bCs w:val="1"/>
          <w:i w:val="1"/>
          <w:iCs w:val="1"/>
          <w:color w:val="auto"/>
        </w:rPr>
        <w:t>If Other Securities and Warrants</w:t>
      </w:r>
      <w:r>
        <w:rPr>
          <w:rFonts w:ascii="Times New Roman" w:cs="Times New Roman" w:eastAsia="Times New Roman" w:hAnsi="Times New Roman"/>
          <w:sz w:val="13"/>
          <w:szCs w:val="13"/>
          <w:color w:val="auto"/>
        </w:rPr>
        <w:t xml:space="preserve"> —Warrant Certificates will be issued with the Other Securities and each Warrant Certificate will evidence [•] Warrants for each [$[•] principal amount] [[•] shares] of Other Securities issued.]</w:t>
      </w:r>
    </w:p>
    <w:p>
      <w:pPr>
        <w:spacing w:after="0" w:line="125" w:lineRule="exact"/>
        <w:rPr>
          <w:sz w:val="20"/>
          <w:szCs w:val="20"/>
          <w:color w:val="auto"/>
        </w:rPr>
      </w:pPr>
    </w:p>
    <w:p>
      <w:pPr>
        <w:ind w:left="240" w:right="299" w:firstLine="341"/>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form set forth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129" w:name="page130"/>
    <w:bookmarkEnd w:id="129"/>
    <w:p>
      <w:pPr>
        <w:jc w:val="both"/>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3"/>
          <w:szCs w:val="13"/>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27" w:lineRule="exact"/>
        <w:rPr>
          <w:sz w:val="20"/>
          <w:szCs w:val="20"/>
          <w:color w:val="auto"/>
        </w:rPr>
      </w:pPr>
    </w:p>
    <w:p>
      <w:pPr>
        <w:ind w:left="240" w:right="379" w:firstLine="341"/>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2"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Securities may be executed by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4"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240" w:right="33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6" w:lineRule="exact"/>
        <w:rPr>
          <w:sz w:val="20"/>
          <w:szCs w:val="20"/>
          <w:color w:val="auto"/>
        </w:rPr>
      </w:pPr>
    </w:p>
    <w:p>
      <w:pPr>
        <w:ind w:left="240" w:right="359" w:firstLine="766"/>
        <w:spacing w:after="0" w:line="259" w:lineRule="auto"/>
        <w:tabs>
          <w:tab w:leader="none" w:pos="1205"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30" w:name="page131"/>
    <w:bookmarkEnd w:id="130"/>
    <w:p>
      <w:pPr>
        <w:ind w:left="240" w:right="2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52" w:lineRule="exact"/>
        <w:rPr>
          <w:sz w:val="20"/>
          <w:szCs w:val="20"/>
          <w:color w:val="auto"/>
        </w:rPr>
      </w:pPr>
    </w:p>
    <w:p>
      <w:pPr>
        <w:ind w:left="240" w:right="379" w:firstLine="766"/>
        <w:spacing w:after="0" w:line="286" w:lineRule="auto"/>
        <w:tabs>
          <w:tab w:leader="none" w:pos="1213" w:val="left"/>
        </w:tabs>
        <w:numPr>
          <w:ilvl w:val="0"/>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23" w:lineRule="exact"/>
        <w:rPr>
          <w:rFonts w:ascii="Times New Roman" w:cs="Times New Roman" w:eastAsia="Times New Roman" w:hAnsi="Times New Roman"/>
          <w:sz w:val="13"/>
          <w:szCs w:val="13"/>
          <w:b w:val="1"/>
          <w:bCs w:val="1"/>
          <w:color w:val="auto"/>
        </w:rPr>
      </w:pPr>
    </w:p>
    <w:p>
      <w:pPr>
        <w:ind w:left="240" w:right="279" w:firstLine="766"/>
        <w:spacing w:after="0" w:line="257" w:lineRule="auto"/>
        <w:tabs>
          <w:tab w:leader="none" w:pos="1197"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1" w:lineRule="exact"/>
        <w:rPr>
          <w:rFonts w:ascii="Times New Roman" w:cs="Times New Roman" w:eastAsia="Times New Roman" w:hAnsi="Times New Roman"/>
          <w:sz w:val="14"/>
          <w:szCs w:val="14"/>
          <w:b w:val="1"/>
          <w:bCs w:val="1"/>
          <w:color w:val="auto"/>
        </w:rPr>
      </w:pPr>
    </w:p>
    <w:p>
      <w:pPr>
        <w:ind w:left="240" w:right="339" w:firstLine="766"/>
        <w:spacing w:after="0" w:line="259" w:lineRule="auto"/>
        <w:tabs>
          <w:tab w:leader="none" w:pos="1213"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41" w:lineRule="exact"/>
        <w:rPr>
          <w:rFonts w:ascii="Times New Roman" w:cs="Times New Roman" w:eastAsia="Times New Roman" w:hAnsi="Times New Roman"/>
          <w:sz w:val="14"/>
          <w:szCs w:val="14"/>
          <w:b w:val="1"/>
          <w:bCs w:val="1"/>
          <w:color w:val="auto"/>
        </w:rPr>
      </w:pPr>
    </w:p>
    <w:p>
      <w:pPr>
        <w:ind w:left="240" w:right="459" w:firstLine="766"/>
        <w:spacing w:after="0" w:line="280" w:lineRule="auto"/>
        <w:tabs>
          <w:tab w:leader="none" w:pos="1197"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31" w:name="page132"/>
    <w:bookmarkEnd w:id="131"/>
    <w:p>
      <w:pPr>
        <w:ind w:left="4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3</w:t>
      </w:r>
    </w:p>
    <w:p>
      <w:pPr>
        <w:spacing w:after="0" w:line="9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57" w:lineRule="exact"/>
        <w:rPr>
          <w:sz w:val="20"/>
          <w:szCs w:val="20"/>
          <w:color w:val="auto"/>
        </w:rPr>
      </w:pPr>
    </w:p>
    <w:p>
      <w:pPr>
        <w:ind w:left="240" w:right="4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3.1 No Rights as Warrant Securityholder Conferred by Warrants or Warrant Certificates. </w:t>
      </w:r>
      <w:r>
        <w:rPr>
          <w:rFonts w:ascii="Times New Roman" w:cs="Times New Roman" w:eastAsia="Times New Roman" w:hAnsi="Times New Roman"/>
          <w:sz w:val="14"/>
          <w:szCs w:val="14"/>
          <w:color w:val="auto"/>
        </w:rPr>
        <w:t>No Warrant Certificate or Warrant evidenced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9" w:lineRule="exact"/>
        <w:rPr>
          <w:sz w:val="20"/>
          <w:szCs w:val="20"/>
          <w:color w:val="auto"/>
        </w:rPr>
      </w:pPr>
    </w:p>
    <w:p>
      <w:pPr>
        <w:ind w:left="240" w:right="279" w:firstLine="341"/>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3.2 Lost, Stolen, Mutilated or Destroyed Warrant Certificates. </w:t>
      </w:r>
      <w:r>
        <w:rPr>
          <w:rFonts w:ascii="Times New Roman" w:cs="Times New Roman" w:eastAsia="Times New Roman" w:hAnsi="Times New Roman"/>
          <w:sz w:val="13"/>
          <w:szCs w:val="13"/>
          <w:color w:val="auto"/>
        </w:rPr>
        <w:t>Upon receipt by the Warrant Agent of evidence reasonably satisfactory to it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31"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3.4 Adjustments.</w:t>
      </w:r>
    </w:p>
    <w:p>
      <w:pPr>
        <w:spacing w:after="0" w:line="176" w:lineRule="exact"/>
        <w:rPr>
          <w:sz w:val="20"/>
          <w:szCs w:val="20"/>
          <w:color w:val="auto"/>
        </w:rPr>
      </w:pPr>
    </w:p>
    <w:p>
      <w:pPr>
        <w:ind w:left="240" w:right="339" w:firstLine="766"/>
        <w:spacing w:after="0" w:line="257" w:lineRule="auto"/>
        <w:tabs>
          <w:tab w:leader="none" w:pos="1205"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132" w:name="page133"/>
    <w:bookmarkEnd w:id="132"/>
    <w:p>
      <w:pPr>
        <w:ind w:left="240" w:right="319" w:firstLine="766"/>
        <w:spacing w:after="0" w:line="280" w:lineRule="auto"/>
        <w:tabs>
          <w:tab w:leader="none" w:pos="1213" w:val="left"/>
        </w:tabs>
        <w:numPr>
          <w:ilvl w:val="1"/>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26" w:lineRule="exact"/>
        <w:rPr>
          <w:rFonts w:ascii="Times New Roman" w:cs="Times New Roman" w:eastAsia="Times New Roman" w:hAnsi="Times New Roman"/>
          <w:sz w:val="14"/>
          <w:szCs w:val="14"/>
          <w:b w:val="1"/>
          <w:bCs w:val="1"/>
          <w:color w:val="auto"/>
        </w:rPr>
      </w:pPr>
    </w:p>
    <w:p>
      <w:pPr>
        <w:ind w:left="240" w:right="479" w:firstLine="1107"/>
        <w:spacing w:after="0" w:line="265" w:lineRule="auto"/>
        <w:tabs>
          <w:tab w:leader="none" w:pos="1515" w:val="left"/>
        </w:tabs>
        <w:numPr>
          <w:ilvl w:val="2"/>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135" w:lineRule="exact"/>
        <w:rPr>
          <w:rFonts w:ascii="Times New Roman" w:cs="Times New Roman" w:eastAsia="Times New Roman" w:hAnsi="Times New Roman"/>
          <w:sz w:val="14"/>
          <w:szCs w:val="14"/>
          <w:b w:val="1"/>
          <w:bCs w:val="1"/>
          <w:color w:val="auto"/>
        </w:rPr>
      </w:pPr>
    </w:p>
    <w:p>
      <w:pPr>
        <w:ind w:left="1560" w:hanging="213"/>
        <w:spacing w:after="0"/>
        <w:tabs>
          <w:tab w:leader="none" w:pos="1560" w:val="left"/>
        </w:tabs>
        <w:numPr>
          <w:ilvl w:val="2"/>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cash paid or payable otherwise than as a cash dividend paid or payable out of the Company’s current or retained earnings;</w:t>
      </w:r>
    </w:p>
    <w:p>
      <w:pPr>
        <w:spacing w:after="0" w:line="173" w:lineRule="exact"/>
        <w:rPr>
          <w:rFonts w:ascii="Times New Roman" w:cs="Times New Roman" w:eastAsia="Times New Roman" w:hAnsi="Times New Roman"/>
          <w:sz w:val="14"/>
          <w:szCs w:val="14"/>
          <w:b w:val="1"/>
          <w:bCs w:val="1"/>
          <w:color w:val="auto"/>
        </w:rPr>
      </w:pPr>
    </w:p>
    <w:p>
      <w:pPr>
        <w:ind w:left="1600" w:hanging="253"/>
        <w:spacing w:after="0"/>
        <w:tabs>
          <w:tab w:leader="none" w:pos="1600" w:val="left"/>
        </w:tabs>
        <w:numPr>
          <w:ilvl w:val="2"/>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evidence of the Company’s indebtedness or rights to subscribe for or purchase the Company’s indebtedness; or</w:t>
      </w:r>
    </w:p>
    <w:p>
      <w:pPr>
        <w:spacing w:after="0" w:line="173" w:lineRule="exact"/>
        <w:rPr>
          <w:rFonts w:ascii="Times New Roman" w:cs="Times New Roman" w:eastAsia="Times New Roman" w:hAnsi="Times New Roman"/>
          <w:sz w:val="14"/>
          <w:szCs w:val="14"/>
          <w:b w:val="1"/>
          <w:bCs w:val="1"/>
          <w:color w:val="auto"/>
        </w:rPr>
      </w:pPr>
    </w:p>
    <w:p>
      <w:pPr>
        <w:ind w:left="240" w:right="299" w:firstLine="1107"/>
        <w:spacing w:after="0" w:line="277" w:lineRule="auto"/>
        <w:tabs>
          <w:tab w:leader="none" w:pos="1585" w:val="left"/>
        </w:tabs>
        <w:numPr>
          <w:ilvl w:val="2"/>
          <w:numId w:val="1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130" w:lineRule="exact"/>
        <w:rPr>
          <w:rFonts w:ascii="Times New Roman" w:cs="Times New Roman" w:eastAsia="Times New Roman" w:hAnsi="Times New Roman"/>
          <w:sz w:val="13"/>
          <w:szCs w:val="13"/>
          <w:b w:val="1"/>
          <w:bCs w:val="1"/>
          <w:color w:val="auto"/>
        </w:rPr>
      </w:pPr>
    </w:p>
    <w:p>
      <w:pPr>
        <w:ind w:left="240" w:right="299" w:firstLine="766"/>
        <w:spacing w:after="0" w:line="274" w:lineRule="auto"/>
        <w:tabs>
          <w:tab w:leader="none" w:pos="1197" w:val="left"/>
        </w:tabs>
        <w:numPr>
          <w:ilvl w:val="1"/>
          <w:numId w:val="1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w:t>
      </w:r>
    </w:p>
    <w:p>
      <w:pPr>
        <w:spacing w:after="0" w:line="1" w:lineRule="exact"/>
        <w:rPr>
          <w:rFonts w:ascii="Times New Roman" w:cs="Times New Roman" w:eastAsia="Times New Roman" w:hAnsi="Times New Roman"/>
          <w:sz w:val="13"/>
          <w:szCs w:val="13"/>
          <w:b w:val="1"/>
          <w:bCs w:val="1"/>
          <w:color w:val="auto"/>
        </w:rPr>
      </w:pPr>
    </w:p>
    <w:p>
      <w:pPr>
        <w:ind w:left="240" w:right="259" w:hanging="2"/>
        <w:spacing w:after="0" w:line="250" w:lineRule="auto"/>
        <w:tabs>
          <w:tab w:leader="none" w:pos="48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33" w:name="page134"/>
    <w:bookmarkEnd w:id="133"/>
    <w:p>
      <w:pPr>
        <w:ind w:left="24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5" w:lineRule="exact"/>
        <w:rPr>
          <w:sz w:val="20"/>
          <w:szCs w:val="20"/>
          <w:color w:val="auto"/>
        </w:rPr>
      </w:pPr>
    </w:p>
    <w:p>
      <w:pPr>
        <w:jc w:val="both"/>
        <w:ind w:left="240" w:right="439" w:firstLine="766"/>
        <w:spacing w:after="0" w:line="265" w:lineRule="auto"/>
        <w:tabs>
          <w:tab w:leader="none" w:pos="1213"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35" w:lineRule="exact"/>
        <w:rPr>
          <w:rFonts w:ascii="Times New Roman" w:cs="Times New Roman" w:eastAsia="Times New Roman" w:hAnsi="Times New Roman"/>
          <w:sz w:val="14"/>
          <w:szCs w:val="14"/>
          <w:b w:val="1"/>
          <w:bCs w:val="1"/>
          <w:color w:val="auto"/>
        </w:rPr>
      </w:pPr>
    </w:p>
    <w:p>
      <w:pPr>
        <w:ind w:left="240" w:right="299" w:firstLine="766"/>
        <w:spacing w:after="0" w:line="265" w:lineRule="auto"/>
        <w:tabs>
          <w:tab w:leader="none" w:pos="1197"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35" w:lineRule="exact"/>
        <w:rPr>
          <w:rFonts w:ascii="Times New Roman" w:cs="Times New Roman" w:eastAsia="Times New Roman" w:hAnsi="Times New Roman"/>
          <w:sz w:val="14"/>
          <w:szCs w:val="14"/>
          <w:b w:val="1"/>
          <w:bCs w:val="1"/>
          <w:color w:val="auto"/>
        </w:rPr>
      </w:pPr>
    </w:p>
    <w:p>
      <w:pPr>
        <w:ind w:left="240" w:right="339" w:firstLine="766"/>
        <w:spacing w:after="0" w:line="272" w:lineRule="auto"/>
        <w:tabs>
          <w:tab w:leader="none" w:pos="1182"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3"/>
          <w:szCs w:val="13"/>
          <w:b w:val="1"/>
          <w:bCs w:val="1"/>
          <w:i w:val="1"/>
          <w:iCs w:val="1"/>
          <w:color w:val="auto"/>
        </w:rPr>
        <w:t>OTC Bulletin Board</w:t>
      </w:r>
      <w:r>
        <w:rPr>
          <w:rFonts w:ascii="Times New Roman" w:cs="Times New Roman" w:eastAsia="Times New Roman" w:hAnsi="Times New Roman"/>
          <w:sz w:val="13"/>
          <w:szCs w:val="13"/>
          <w:color w:val="auto"/>
        </w:rPr>
        <w:t>”) operated by the Financial Industry Regulatory Authority, Inc. (“</w:t>
      </w:r>
      <w:r>
        <w:rPr>
          <w:rFonts w:ascii="Times New Roman" w:cs="Times New Roman" w:eastAsia="Times New Roman" w:hAnsi="Times New Roman"/>
          <w:sz w:val="13"/>
          <w:szCs w:val="13"/>
          <w:b w:val="1"/>
          <w:bCs w:val="1"/>
          <w:i w:val="1"/>
          <w:iCs w:val="1"/>
          <w:color w:val="auto"/>
        </w:rPr>
        <w:t>FINRA</w:t>
      </w:r>
      <w:r>
        <w:rPr>
          <w:rFonts w:ascii="Times New Roman" w:cs="Times New Roman" w:eastAsia="Times New Roman" w:hAnsi="Times New Roman"/>
          <w:sz w:val="13"/>
          <w:szCs w:val="13"/>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39" w:lineRule="exact"/>
        <w:rPr>
          <w:rFonts w:ascii="Times New Roman" w:cs="Times New Roman" w:eastAsia="Times New Roman" w:hAnsi="Times New Roman"/>
          <w:sz w:val="13"/>
          <w:szCs w:val="13"/>
          <w:b w:val="1"/>
          <w:bCs w:val="1"/>
          <w:color w:val="auto"/>
        </w:rPr>
      </w:pPr>
    </w:p>
    <w:p>
      <w:pPr>
        <w:ind w:left="240" w:right="459" w:firstLine="766"/>
        <w:spacing w:after="0" w:line="265" w:lineRule="auto"/>
        <w:tabs>
          <w:tab w:leader="none" w:pos="1205"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35" w:lineRule="exact"/>
        <w:rPr>
          <w:rFonts w:ascii="Times New Roman" w:cs="Times New Roman" w:eastAsia="Times New Roman" w:hAnsi="Times New Roman"/>
          <w:sz w:val="14"/>
          <w:szCs w:val="14"/>
          <w:b w:val="1"/>
          <w:bCs w:val="1"/>
          <w:color w:val="auto"/>
        </w:rPr>
      </w:pPr>
    </w:p>
    <w:p>
      <w:pPr>
        <w:ind w:left="240" w:right="379" w:firstLine="766"/>
        <w:spacing w:after="0" w:line="280" w:lineRule="auto"/>
        <w:tabs>
          <w:tab w:leader="none" w:pos="1213"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to the contrary herein, in no event shall the Warrant Price, as adjusted in accordance with the terms hereof, be less than the par value per share of Common Stock.</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34" w:name="page135"/>
    <w:bookmarkEnd w:id="134"/>
    <w:p>
      <w:pPr>
        <w:ind w:left="240" w:right="379" w:firstLine="341"/>
        <w:spacing w:after="0" w:line="275"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3.5 Notice to Warrantholders. </w:t>
      </w:r>
      <w:r>
        <w:rPr>
          <w:rFonts w:ascii="Times New Roman" w:cs="Times New Roman" w:eastAsia="Times New Roman" w:hAnsi="Times New Roman"/>
          <w:sz w:val="13"/>
          <w:szCs w:val="13"/>
          <w:color w:val="auto"/>
        </w:rPr>
        <w:t>In case the Company shall (a) effect any dividend or distribution described in Section 3.4(b), (b) effect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w:t>
      </w:r>
    </w:p>
    <w:p>
      <w:pPr>
        <w:spacing w:after="0" w:line="1" w:lineRule="exact"/>
        <w:rPr>
          <w:sz w:val="20"/>
          <w:szCs w:val="20"/>
          <w:color w:val="auto"/>
        </w:rPr>
      </w:pPr>
    </w:p>
    <w:p>
      <w:pPr>
        <w:ind w:left="240" w:right="259" w:hanging="2"/>
        <w:spacing w:after="0" w:line="268" w:lineRule="auto"/>
        <w:tabs>
          <w:tab w:leader="none" w:pos="437"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w:t>
      </w:r>
    </w:p>
    <w:p>
      <w:pPr>
        <w:spacing w:after="0" w:line="1" w:lineRule="exact"/>
        <w:rPr>
          <w:rFonts w:ascii="Times New Roman" w:cs="Times New Roman" w:eastAsia="Times New Roman" w:hAnsi="Times New Roman"/>
          <w:sz w:val="13"/>
          <w:szCs w:val="13"/>
          <w:color w:val="auto"/>
        </w:rPr>
      </w:pPr>
    </w:p>
    <w:p>
      <w:pPr>
        <w:ind w:left="240" w:right="659" w:hanging="2"/>
        <w:spacing w:after="0" w:line="258" w:lineRule="auto"/>
        <w:tabs>
          <w:tab w:leader="none" w:pos="43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3.6 </w:t>
      </w:r>
      <w:r>
        <w:rPr>
          <w:rFonts w:ascii="Times New Roman" w:cs="Times New Roman" w:eastAsia="Times New Roman" w:hAnsi="Times New Roman"/>
          <w:sz w:val="14"/>
          <w:szCs w:val="14"/>
          <w:color w:val="auto"/>
        </w:rPr>
        <w:t>[If the Warrants are Subject to Acceleration by the Company, Insert — Acceleration of Warrants by the Company.</w:t>
      </w:r>
    </w:p>
    <w:p>
      <w:pPr>
        <w:spacing w:after="0" w:line="176" w:lineRule="exact"/>
        <w:rPr>
          <w:sz w:val="20"/>
          <w:szCs w:val="20"/>
          <w:color w:val="auto"/>
        </w:rPr>
      </w:pPr>
    </w:p>
    <w:p>
      <w:pPr>
        <w:ind w:left="240" w:right="299" w:firstLine="766"/>
        <w:spacing w:after="0" w:line="257" w:lineRule="auto"/>
        <w:tabs>
          <w:tab w:leader="none" w:pos="1205"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4"/>
          <w:szCs w:val="14"/>
          <w:b w:val="1"/>
          <w:bCs w:val="1"/>
          <w:i w:val="1"/>
          <w:iCs w:val="1"/>
          <w:color w:val="auto"/>
        </w:rPr>
        <w:t>Acceleration Date</w:t>
      </w:r>
      <w:r>
        <w:rPr>
          <w:rFonts w:ascii="Times New Roman" w:cs="Times New Roman" w:eastAsia="Times New Roman" w:hAnsi="Times New Roman"/>
          <w:sz w:val="14"/>
          <w:szCs w:val="14"/>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39" w:lineRule="exact"/>
        <w:rPr>
          <w:rFonts w:ascii="Times New Roman" w:cs="Times New Roman" w:eastAsia="Times New Roman" w:hAnsi="Times New Roman"/>
          <w:sz w:val="14"/>
          <w:szCs w:val="14"/>
          <w:b w:val="1"/>
          <w:bCs w:val="1"/>
          <w:color w:val="auto"/>
        </w:rPr>
      </w:pPr>
    </w:p>
    <w:p>
      <w:pPr>
        <w:ind w:left="240" w:right="279" w:firstLine="766"/>
        <w:spacing w:after="0" w:line="252" w:lineRule="auto"/>
        <w:tabs>
          <w:tab w:leader="none" w:pos="1213"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Market Price</w:t>
      </w:r>
      <w:r>
        <w:rPr>
          <w:rFonts w:ascii="Times New Roman" w:cs="Times New Roman" w:eastAsia="Times New Roman" w:hAnsi="Times New Roman"/>
          <w:sz w:val="14"/>
          <w:szCs w:val="14"/>
          <w:color w:val="auto"/>
        </w:rPr>
        <w:t>” for each Trading Day shall be, if the Common Stock is listed or admitted to trading on any registered national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48" w:lineRule="exact"/>
        <w:rPr>
          <w:rFonts w:ascii="Times New Roman" w:cs="Times New Roman" w:eastAsia="Times New Roman" w:hAnsi="Times New Roman"/>
          <w:sz w:val="14"/>
          <w:szCs w:val="14"/>
          <w:b w:val="1"/>
          <w:bCs w:val="1"/>
          <w:color w:val="auto"/>
        </w:rPr>
      </w:pPr>
    </w:p>
    <w:p>
      <w:pPr>
        <w:ind w:left="240" w:right="279" w:firstLine="766"/>
        <w:spacing w:after="0" w:line="257" w:lineRule="auto"/>
        <w:tabs>
          <w:tab w:leader="none" w:pos="1197"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135" w:name="page136"/>
    <w:bookmarkEnd w:id="135"/>
    <w:p>
      <w:pPr>
        <w:ind w:left="240" w:right="439" w:firstLine="766"/>
        <w:spacing w:after="0" w:line="280" w:lineRule="auto"/>
        <w:tabs>
          <w:tab w:leader="none" w:pos="1213"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Warrant accelerated may be exercised until [•] p.m., [City] time, on the business day next preceding the Acceleration Date. The Warrant Price shall be payable as provided in Section 2.]</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4" w:lineRule="exact"/>
        <w:rPr>
          <w:sz w:val="20"/>
          <w:szCs w:val="20"/>
          <w:color w:val="auto"/>
        </w:rPr>
      </w:pPr>
    </w:p>
    <w:p>
      <w:pPr>
        <w:ind w:left="240" w:right="259" w:firstLine="341"/>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50" w:lineRule="exact"/>
        <w:rPr>
          <w:sz w:val="20"/>
          <w:szCs w:val="20"/>
          <w:color w:val="auto"/>
        </w:rPr>
      </w:pPr>
    </w:p>
    <w:p>
      <w:pPr>
        <w:ind w:left="240" w:right="29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as the absolute owner thereof for any purpose and as the person entitled to exercise the rights represented by the Warrants evidenced thereby, any notice to the contrary notwithstanding.</w:t>
      </w:r>
    </w:p>
    <w:p>
      <w:pPr>
        <w:spacing w:after="0" w:line="134" w:lineRule="exact"/>
        <w:rPr>
          <w:sz w:val="20"/>
          <w:szCs w:val="20"/>
          <w:color w:val="auto"/>
        </w:rPr>
      </w:pPr>
    </w:p>
    <w:p>
      <w:pPr>
        <w:ind w:left="240" w:right="27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4"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8" w:lineRule="exact"/>
        <w:rPr>
          <w:sz w:val="20"/>
          <w:szCs w:val="20"/>
          <w:color w:val="auto"/>
        </w:rPr>
      </w:pPr>
    </w:p>
    <w:p>
      <w:pPr>
        <w:jc w:val="both"/>
        <w:ind w:left="240" w:right="63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including the following to all of which the Company agrees and to all of which the rights hereunder of the holders from time to time of the Warrant Certificates shall be subject:</w:t>
      </w:r>
    </w:p>
    <w:p>
      <w:pPr>
        <w:spacing w:after="0" w:line="50" w:lineRule="exact"/>
        <w:rPr>
          <w:sz w:val="20"/>
          <w:szCs w:val="20"/>
          <w:color w:val="auto"/>
        </w:rPr>
      </w:pPr>
    </w:p>
    <w:p>
      <w:pPr>
        <w:ind w:left="240" w:right="339" w:firstLine="766"/>
        <w:spacing w:after="0" w:line="256" w:lineRule="auto"/>
        <w:tabs>
          <w:tab w:leader="none" w:pos="1205"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Compensation and Indemnification. </w:t>
      </w:r>
      <w:r>
        <w:rPr>
          <w:rFonts w:ascii="Times New Roman" w:cs="Times New Roman" w:eastAsia="Times New Roman" w:hAnsi="Times New Roman"/>
          <w:sz w:val="14"/>
          <w:szCs w:val="14"/>
          <w:color w:val="auto"/>
        </w:rPr>
        <w:t>The Company agrees promptly to pay the Warrant Agent the compensation to be agreed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0" w:lineRule="exact"/>
        <w:rPr>
          <w:rFonts w:ascii="Times New Roman" w:cs="Times New Roman" w:eastAsia="Times New Roman" w:hAnsi="Times New Roman"/>
          <w:sz w:val="14"/>
          <w:szCs w:val="14"/>
          <w:b w:val="1"/>
          <w:bCs w:val="1"/>
          <w:color w:val="auto"/>
        </w:rPr>
      </w:pPr>
    </w:p>
    <w:p>
      <w:pPr>
        <w:ind w:left="240" w:right="339" w:firstLine="766"/>
        <w:spacing w:after="0" w:line="266" w:lineRule="auto"/>
        <w:tabs>
          <w:tab w:leader="none" w:pos="1213"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solely as agent of the Company and does not assume any obligations or relationship of agency or trust for or with any of the holders of Warrant Certificates or beneficial owners of Warrants.</w:t>
      </w:r>
    </w:p>
    <w:p>
      <w:pPr>
        <w:spacing w:after="0" w:line="133" w:lineRule="exact"/>
        <w:rPr>
          <w:rFonts w:ascii="Times New Roman" w:cs="Times New Roman" w:eastAsia="Times New Roman" w:hAnsi="Times New Roman"/>
          <w:sz w:val="14"/>
          <w:szCs w:val="14"/>
          <w:b w:val="1"/>
          <w:bCs w:val="1"/>
          <w:color w:val="auto"/>
        </w:rPr>
      </w:pPr>
    </w:p>
    <w:p>
      <w:pPr>
        <w:ind w:left="240" w:right="299" w:firstLine="766"/>
        <w:spacing w:after="0" w:line="266" w:lineRule="auto"/>
        <w:tabs>
          <w:tab w:leader="none" w:pos="1197"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advice of such counsel shall be full and complete authorization and protection in respect of any action taken, suffered or omitted by it hereunder in good faith and in accordance with the advice of such counsel.</w:t>
      </w:r>
    </w:p>
    <w:p>
      <w:pPr>
        <w:spacing w:after="0" w:line="133" w:lineRule="exact"/>
        <w:rPr>
          <w:rFonts w:ascii="Times New Roman" w:cs="Times New Roman" w:eastAsia="Times New Roman" w:hAnsi="Times New Roman"/>
          <w:sz w:val="14"/>
          <w:szCs w:val="14"/>
          <w:b w:val="1"/>
          <w:bCs w:val="1"/>
          <w:color w:val="auto"/>
        </w:rPr>
      </w:pPr>
    </w:p>
    <w:p>
      <w:pPr>
        <w:ind w:left="240" w:right="319" w:firstLine="766"/>
        <w:spacing w:after="0" w:line="266" w:lineRule="auto"/>
        <w:tabs>
          <w:tab w:leader="none" w:pos="1213"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3" w:lineRule="exact"/>
        <w:rPr>
          <w:rFonts w:ascii="Times New Roman" w:cs="Times New Roman" w:eastAsia="Times New Roman" w:hAnsi="Times New Roman"/>
          <w:sz w:val="14"/>
          <w:szCs w:val="14"/>
          <w:b w:val="1"/>
          <w:bCs w:val="1"/>
          <w:color w:val="auto"/>
        </w:rPr>
      </w:pPr>
    </w:p>
    <w:p>
      <w:pPr>
        <w:ind w:left="240" w:right="279" w:firstLine="766"/>
        <w:spacing w:after="0" w:line="282" w:lineRule="auto"/>
        <w:tabs>
          <w:tab w:leader="none" w:pos="1197" w:val="left"/>
        </w:tabs>
        <w:numPr>
          <w:ilvl w:val="0"/>
          <w:numId w:val="10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Certain Transactions. </w:t>
      </w:r>
      <w:r>
        <w:rPr>
          <w:rFonts w:ascii="Times New Roman" w:cs="Times New Roman" w:eastAsia="Times New Roman" w:hAnsi="Times New Roman"/>
          <w:sz w:val="13"/>
          <w:szCs w:val="13"/>
          <w:color w:val="auto"/>
        </w:rPr>
        <w:t>The Warrant Agent, and its officers, directors and employees, may become the owner of, or acquire any interest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137" w:name="page138"/>
    <w:bookmarkEnd w:id="137"/>
    <w:p>
      <w:pPr>
        <w:ind w:left="240" w:right="539" w:firstLine="766"/>
        <w:spacing w:after="0" w:line="283" w:lineRule="auto"/>
        <w:tabs>
          <w:tab w:leader="none" w:pos="1182"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monies at any time received by it pursuant to any of the provisions of this Agreement or of the Warrant Certificates.</w:t>
      </w:r>
    </w:p>
    <w:p>
      <w:pPr>
        <w:spacing w:after="0" w:line="122" w:lineRule="exact"/>
        <w:rPr>
          <w:rFonts w:ascii="Times New Roman" w:cs="Times New Roman" w:eastAsia="Times New Roman" w:hAnsi="Times New Roman"/>
          <w:sz w:val="14"/>
          <w:szCs w:val="14"/>
          <w:b w:val="1"/>
          <w:bCs w:val="1"/>
          <w:color w:val="auto"/>
        </w:rPr>
      </w:pPr>
    </w:p>
    <w:p>
      <w:pPr>
        <w:ind w:left="240" w:right="459" w:firstLine="766"/>
        <w:spacing w:after="0" w:line="283" w:lineRule="auto"/>
        <w:tabs>
          <w:tab w:leader="none" w:pos="1205"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(except as to the Warrant Agent’s countersignature thereon).</w:t>
      </w:r>
    </w:p>
    <w:p>
      <w:pPr>
        <w:spacing w:after="0" w:line="122" w:lineRule="exact"/>
        <w:rPr>
          <w:rFonts w:ascii="Times New Roman" w:cs="Times New Roman" w:eastAsia="Times New Roman" w:hAnsi="Times New Roman"/>
          <w:sz w:val="14"/>
          <w:szCs w:val="14"/>
          <w:b w:val="1"/>
          <w:bCs w:val="1"/>
          <w:color w:val="auto"/>
        </w:rPr>
      </w:pPr>
    </w:p>
    <w:p>
      <w:pPr>
        <w:ind w:left="240" w:right="279" w:firstLine="766"/>
        <w:spacing w:after="0" w:line="283" w:lineRule="auto"/>
        <w:tabs>
          <w:tab w:leader="none" w:pos="1213"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Warrant Certificates (except as to the Warrant Agent’s countersignature thereon), all of which are made solely by the Company.</w:t>
      </w:r>
    </w:p>
    <w:p>
      <w:pPr>
        <w:spacing w:after="0" w:line="122" w:lineRule="exact"/>
        <w:rPr>
          <w:rFonts w:ascii="Times New Roman" w:cs="Times New Roman" w:eastAsia="Times New Roman" w:hAnsi="Times New Roman"/>
          <w:sz w:val="14"/>
          <w:szCs w:val="14"/>
          <w:b w:val="1"/>
          <w:bCs w:val="1"/>
          <w:color w:val="auto"/>
        </w:rPr>
      </w:pPr>
    </w:p>
    <w:p>
      <w:pPr>
        <w:ind w:left="240" w:right="259" w:firstLine="766"/>
        <w:spacing w:after="0" w:line="253" w:lineRule="auto"/>
        <w:tabs>
          <w:tab w:leader="none" w:pos="1174"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Implied Obligations. </w:t>
      </w:r>
      <w:r>
        <w:rPr>
          <w:rFonts w:ascii="Times New Roman" w:cs="Times New Roman" w:eastAsia="Times New Roman" w:hAnsi="Times New Roman"/>
          <w:sz w:val="14"/>
          <w:szCs w:val="14"/>
          <w:color w:val="auto"/>
        </w:rPr>
        <w:t>The Warrant Agent shall be obligated to perform only such duties as are herein and in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6" w:lineRule="exact"/>
        <w:rPr>
          <w:sz w:val="20"/>
          <w:szCs w:val="20"/>
          <w:color w:val="auto"/>
        </w:rPr>
      </w:pPr>
    </w:p>
    <w:p>
      <w:pPr>
        <w:ind w:left="240" w:right="639" w:firstLine="766"/>
        <w:spacing w:after="0" w:line="280" w:lineRule="auto"/>
        <w:tabs>
          <w:tab w:leader="none" w:pos="1205"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26" w:lineRule="exact"/>
        <w:rPr>
          <w:rFonts w:ascii="Times New Roman" w:cs="Times New Roman" w:eastAsia="Times New Roman" w:hAnsi="Times New Roman"/>
          <w:sz w:val="14"/>
          <w:szCs w:val="14"/>
          <w:b w:val="1"/>
          <w:bCs w:val="1"/>
          <w:color w:val="auto"/>
        </w:rPr>
      </w:pPr>
    </w:p>
    <w:p>
      <w:pPr>
        <w:ind w:left="240" w:right="279" w:firstLine="766"/>
        <w:spacing w:after="0" w:line="253" w:lineRule="auto"/>
        <w:tabs>
          <w:tab w:leader="none" w:pos="1213"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7" w:lineRule="exact"/>
        <w:rPr>
          <w:rFonts w:ascii="Times New Roman" w:cs="Times New Roman" w:eastAsia="Times New Roman" w:hAnsi="Times New Roman"/>
          <w:sz w:val="14"/>
          <w:szCs w:val="14"/>
          <w:b w:val="1"/>
          <w:bCs w:val="1"/>
          <w:color w:val="auto"/>
        </w:rPr>
      </w:pPr>
    </w:p>
    <w:p>
      <w:pPr>
        <w:ind w:left="240" w:right="479" w:firstLine="766"/>
        <w:spacing w:after="0" w:line="257" w:lineRule="auto"/>
        <w:tabs>
          <w:tab w:leader="none" w:pos="1197"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138" w:name="page139"/>
    <w:bookmarkEnd w:id="138"/>
    <w:p>
      <w:pPr>
        <w:ind w:left="24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5" w:lineRule="exact"/>
        <w:rPr>
          <w:sz w:val="20"/>
          <w:szCs w:val="20"/>
          <w:color w:val="auto"/>
        </w:rPr>
      </w:pPr>
    </w:p>
    <w:p>
      <w:pPr>
        <w:ind w:left="240" w:right="279" w:firstLine="766"/>
        <w:spacing w:after="0" w:line="255" w:lineRule="auto"/>
        <w:tabs>
          <w:tab w:leader="none" w:pos="1213"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4" w:lineRule="exact"/>
        <w:rPr>
          <w:rFonts w:ascii="Times New Roman" w:cs="Times New Roman" w:eastAsia="Times New Roman" w:hAnsi="Times New Roman"/>
          <w:sz w:val="14"/>
          <w:szCs w:val="14"/>
          <w:b w:val="1"/>
          <w:bCs w:val="1"/>
          <w:color w:val="auto"/>
        </w:rPr>
      </w:pPr>
    </w:p>
    <w:p>
      <w:pPr>
        <w:ind w:left="240" w:right="279" w:firstLine="766"/>
        <w:spacing w:after="0" w:line="257" w:lineRule="auto"/>
        <w:tabs>
          <w:tab w:leader="none" w:pos="1197"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4" w:lineRule="exact"/>
        <w:rPr>
          <w:sz w:val="20"/>
          <w:szCs w:val="20"/>
          <w:color w:val="auto"/>
        </w:rPr>
      </w:pPr>
    </w:p>
    <w:p>
      <w:pPr>
        <w:jc w:val="both"/>
        <w:ind w:left="240" w:right="4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9" w:lineRule="exact"/>
        <w:rPr>
          <w:sz w:val="20"/>
          <w:szCs w:val="20"/>
          <w:color w:val="auto"/>
        </w:rPr>
      </w:pPr>
    </w:p>
    <w:p>
      <w:pPr>
        <w:ind w:left="240" w:right="4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the holder of a Warrant Certificate pursuant to the provisions of the Warrant Certificates, the Warrant Agent shall promptly forward such notice or demand to the Company.</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w:t>
      </w:r>
    </w:p>
    <w:p>
      <w:pPr>
        <w:spacing w:after="0" w:line="23" w:lineRule="exact"/>
        <w:rPr>
          <w:sz w:val="20"/>
          <w:szCs w:val="20"/>
          <w:color w:val="auto"/>
        </w:rPr>
      </w:pPr>
    </w:p>
    <w:p>
      <w:pPr>
        <w:ind w:left="240" w:right="279" w:hanging="2"/>
        <w:spacing w:after="0" w:line="254" w:lineRule="auto"/>
        <w:tabs>
          <w:tab w:leader="none" w:pos="416"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any communication from the Warrant Agent to the Company with respect to this Agreement shall be addressed to Annexon, Inc., 1400 Sierra Point Parkway, Bldg C, Suite 200, Brisbane, California 94005, Attention: [•] (or such other address as shall be specified in writing by the Warrant Agent or by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39" w:name="page140"/>
    <w:bookmarkEnd w:id="139"/>
    <w:p>
      <w:pPr>
        <w:ind w:left="240" w:right="43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of the State of New York.</w:t>
      </w:r>
    </w:p>
    <w:p>
      <w:pPr>
        <w:spacing w:after="0" w:line="122" w:lineRule="exact"/>
        <w:rPr>
          <w:sz w:val="20"/>
          <w:szCs w:val="20"/>
          <w:color w:val="auto"/>
        </w:rPr>
      </w:pPr>
    </w:p>
    <w:p>
      <w:pPr>
        <w:ind w:left="240" w:right="4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of 1933, as amended, relating to the Warrant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38" w:lineRule="exact"/>
        <w:rPr>
          <w:sz w:val="20"/>
          <w:szCs w:val="20"/>
          <w:color w:val="auto"/>
        </w:rPr>
      </w:pPr>
    </w:p>
    <w:p>
      <w:pPr>
        <w:ind w:left="240" w:right="299" w:firstLine="341"/>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6.6 Obtaining of Governmental Approvals. </w:t>
      </w:r>
      <w:r>
        <w:rPr>
          <w:rFonts w:ascii="Times New Roman" w:cs="Times New Roman" w:eastAsia="Times New Roman" w:hAnsi="Times New Roman"/>
          <w:sz w:val="13"/>
          <w:szCs w:val="13"/>
          <w:color w:val="auto"/>
        </w:rPr>
        <w:t>The Company will from time to time take all action which may be necessary to obtain and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25" w:lineRule="exact"/>
        <w:rPr>
          <w:sz w:val="20"/>
          <w:szCs w:val="20"/>
          <w:color w:val="auto"/>
        </w:rPr>
      </w:pPr>
    </w:p>
    <w:p>
      <w:pPr>
        <w:ind w:left="240" w:right="53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and the holders of the Warrant Certificates any right, remedy or claim under or by reason of this Agreement.</w:t>
      </w:r>
    </w:p>
    <w:p>
      <w:pPr>
        <w:spacing w:after="0" w:line="122" w:lineRule="exact"/>
        <w:rPr>
          <w:sz w:val="20"/>
          <w:szCs w:val="20"/>
          <w:color w:val="auto"/>
        </w:rPr>
      </w:pPr>
    </w:p>
    <w:p>
      <w:pPr>
        <w:ind w:left="240" w:right="51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or affect the meaning or construction of any of the provisions hereof.</w:t>
      </w:r>
    </w:p>
    <w:p>
      <w:pPr>
        <w:spacing w:after="0" w:line="122" w:lineRule="exact"/>
        <w:rPr>
          <w:sz w:val="20"/>
          <w:szCs w:val="20"/>
          <w:color w:val="auto"/>
        </w:rPr>
      </w:pPr>
    </w:p>
    <w:p>
      <w:pPr>
        <w:ind w:left="240" w:right="67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but such counterparts shall together constitute but one and the same instrument.</w:t>
      </w:r>
    </w:p>
    <w:p>
      <w:pPr>
        <w:spacing w:after="0" w:line="122" w:lineRule="exact"/>
        <w:rPr>
          <w:sz w:val="20"/>
          <w:szCs w:val="20"/>
          <w:color w:val="auto"/>
        </w:rPr>
      </w:pPr>
    </w:p>
    <w:p>
      <w:pPr>
        <w:jc w:val="both"/>
        <w:ind w:left="240" w:right="47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for inspection by the holder of any Warrant Certificate. The Warrant Agent may require such holder to submit such holder’s Warrant Certificate for inspection by it.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140" w:name="page141"/>
    <w:bookmarkEnd w:id="140"/>
    <w:p>
      <w:pPr>
        <w:ind w:left="5360" w:right="959" w:hanging="4781"/>
        <w:spacing w:after="0" w:line="51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Agreement to be duly executed as of the day and year first above written.</w:t>
      </w:r>
      <w:r>
        <w:rPr>
          <w:rFonts w:ascii="Times New Roman" w:cs="Times New Roman" w:eastAsia="Times New Roman" w:hAnsi="Times New Roman"/>
          <w:sz w:val="14"/>
          <w:szCs w:val="14"/>
          <w:b w:val="1"/>
          <w:bCs w:val="1"/>
          <w:color w:val="auto"/>
        </w:rPr>
        <w:t xml:space="preserve"> ANNEXON, INC., </w:t>
      </w:r>
      <w:r>
        <w:rPr>
          <w:rFonts w:ascii="Times New Roman" w:cs="Times New Roman" w:eastAsia="Times New Roman" w:hAnsi="Times New Roman"/>
          <w:sz w:val="14"/>
          <w:szCs w:val="14"/>
          <w:color w:val="auto"/>
        </w:rPr>
        <w:t>as Company</w:t>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190563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17145</wp:posOffset>
            </wp:positionV>
            <wp:extent cx="190563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1905635" cy="635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-95250</wp:posOffset>
            </wp:positionV>
            <wp:extent cx="190563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6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127635</wp:posOffset>
            </wp:positionV>
            <wp:extent cx="179895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14605</wp:posOffset>
            </wp:positionV>
            <wp:extent cx="179895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34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OUNTERSIGNED</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190563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17145</wp:posOffset>
            </wp:positionV>
            <wp:extent cx="190563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1905635" cy="635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-95250</wp:posOffset>
            </wp:positionV>
            <wp:extent cx="190563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1905635" cy="6350"/>
                    </a:xfrm>
                    <a:prstGeom prst="rect">
                      <a:avLst/>
                    </a:prstGeom>
                    <a:noFill/>
                  </pic:spPr>
                </pic:pic>
              </a:graphicData>
            </a:graphic>
          </wp:anchor>
        </w:drawing>
      </w:r>
    </w:p>
    <w:p>
      <w:pPr>
        <w:spacing w:after="0" w:line="16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127635</wp:posOffset>
            </wp:positionV>
            <wp:extent cx="179895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14605</wp:posOffset>
            </wp:positionV>
            <wp:extent cx="179895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NNEXON</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4"/>
          <w:szCs w:val="14"/>
          <w:color w:val="auto"/>
        </w:rPr>
        <w:t>. C</w:t>
      </w:r>
      <w:r>
        <w:rPr>
          <w:rFonts w:ascii="Times New Roman" w:cs="Times New Roman" w:eastAsia="Times New Roman" w:hAnsi="Times New Roman"/>
          <w:sz w:val="11"/>
          <w:szCs w:val="11"/>
          <w:color w:val="auto"/>
        </w:rPr>
        <w:t>OMMON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9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FORM OF WARRANT CERTIFICATE</w:t>
      </w:r>
    </w:p>
    <w:p>
      <w:pPr>
        <w:spacing w:after="0" w:line="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[FACE OF WARRANT CERTIFICATE]</w:t>
      </w:r>
    </w:p>
    <w:p>
      <w:pPr>
        <w:sectPr>
          <w:pgSz w:w="11900" w:h="16838" w:orient="portrait"/>
          <w:cols w:equalWidth="0" w:num="1">
            <w:col w:w="9019"/>
          </w:cols>
          <w:pgMar w:left="1440" w:top="238" w:right="1440" w:bottom="1440" w:gutter="0" w:footer="0" w:header="0"/>
        </w:sectPr>
      </w:pP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Form of Legend if Warrants are not immediately exercisable.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439"/>
        <w:spacing w:after="0" w:line="280" w:lineRule="auto"/>
        <w:rPr>
          <w:sz w:val="20"/>
          <w:szCs w:val="20"/>
          <w:color w:val="auto"/>
        </w:rPr>
      </w:pPr>
      <w:r>
        <w:rPr>
          <w:rFonts w:ascii="Times New Roman" w:cs="Times New Roman" w:eastAsia="Times New Roman" w:hAnsi="Times New Roman"/>
          <w:sz w:val="14"/>
          <w:szCs w:val="14"/>
          <w:color w:val="auto"/>
        </w:rPr>
        <w:t>[Prior to [•], Warrants evidenced by this Warrant Certificate cannot be exercised.]</w:t>
      </w:r>
    </w:p>
    <w:p>
      <w:pPr>
        <w:spacing w:after="0" w:line="126" w:lineRule="exact"/>
        <w:rPr>
          <w:sz w:val="20"/>
          <w:szCs w:val="20"/>
          <w:color w:val="auto"/>
        </w:rPr>
      </w:pPr>
    </w:p>
    <w:p>
      <w:pPr>
        <w:sectPr>
          <w:pgSz w:w="11900" w:h="16838" w:orient="portrait"/>
          <w:cols w:equalWidth="0" w:num="2">
            <w:col w:w="3960" w:space="720"/>
            <w:col w:w="4339"/>
          </w:cols>
          <w:pgMar w:left="1440" w:top="23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EXERCISABLE ONLY IF COUNTERSIGNED BY THE WARRANT AGENT AS PROVIDED 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VOID AFTER [•] P.M., [City] time, ON [•].</w:t>
      </w:r>
    </w:p>
    <w:p>
      <w:pPr>
        <w:sectPr>
          <w:pgSz w:w="11900" w:h="16838" w:orient="portrait"/>
          <w:cols w:equalWidth="0" w:num="1">
            <w:col w:w="9019"/>
          </w:cols>
          <w:pgMar w:left="1440" w:top="238" w:right="1440" w:bottom="1440" w:gutter="0" w:footer="0" w:header="0"/>
          <w:type w:val="continuous"/>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ANNEXON,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p>
      <w:pPr>
        <w:spacing w:after="0" w:line="180" w:lineRule="exact"/>
        <w:rPr>
          <w:sz w:val="20"/>
          <w:szCs w:val="20"/>
          <w:color w:val="auto"/>
        </w:rPr>
      </w:pPr>
    </w:p>
    <w:p>
      <w:pPr>
        <w:ind w:left="240"/>
        <w:spacing w:after="0"/>
        <w:tabs>
          <w:tab w:leader="none" w:pos="808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4" w:lineRule="exact"/>
        <w:rPr>
          <w:sz w:val="20"/>
          <w:szCs w:val="20"/>
          <w:color w:val="auto"/>
        </w:rPr>
      </w:pPr>
    </w:p>
    <w:p>
      <w:pPr>
        <w:ind w:left="240" w:right="259"/>
        <w:spacing w:after="0" w:line="252"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Annexon,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Price</w:t>
      </w:r>
      <w:r>
        <w:rPr>
          <w:rFonts w:ascii="Times New Roman" w:cs="Times New Roman" w:eastAsia="Times New Roman" w:hAnsi="Times New Roman"/>
          <w:sz w:val="14"/>
          <w:szCs w:val="14"/>
          <w:color w:val="auto"/>
        </w:rPr>
        <w:t>”). The Holder may exercise the Warrants evidenced hereby by providing certain information set forth on the back hereof and by paying in full,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8" w:lineRule="exact"/>
        <w:rPr>
          <w:sz w:val="20"/>
          <w:szCs w:val="20"/>
          <w:color w:val="auto"/>
        </w:rPr>
      </w:pPr>
    </w:p>
    <w:p>
      <w:pPr>
        <w:ind w:left="240" w:right="559"/>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4" w:lineRule="exact"/>
        <w:rPr>
          <w:sz w:val="20"/>
          <w:szCs w:val="20"/>
          <w:color w:val="auto"/>
        </w:rPr>
      </w:pPr>
    </w:p>
    <w:p>
      <w:pPr>
        <w:ind w:left="240" w:right="439"/>
        <w:spacing w:after="0" w:line="265"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34"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41" w:lineRule="exact"/>
        <w:rPr>
          <w:sz w:val="20"/>
          <w:szCs w:val="20"/>
          <w:color w:val="auto"/>
        </w:rPr>
      </w:pPr>
    </w:p>
    <w:p>
      <w:pPr>
        <w:ind w:left="240" w:right="379"/>
        <w:spacing w:after="0" w:line="280"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6" w:lineRule="exact"/>
        <w:rPr>
          <w:sz w:val="20"/>
          <w:szCs w:val="20"/>
          <w:color w:val="auto"/>
        </w:rPr>
      </w:pPr>
    </w:p>
    <w:p>
      <w:pPr>
        <w:ind w:left="240" w:right="519"/>
        <w:spacing w:after="0" w:line="321" w:lineRule="auto"/>
        <w:rPr>
          <w:sz w:val="20"/>
          <w:szCs w:val="20"/>
          <w:color w:val="auto"/>
        </w:rPr>
      </w:pPr>
      <w:r>
        <w:rPr>
          <w:rFonts w:ascii="Times New Roman" w:cs="Times New Roman" w:eastAsia="Times New Roman" w:hAnsi="Times New Roman"/>
          <w:sz w:val="13"/>
          <w:szCs w:val="13"/>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02" w:lineRule="exact"/>
        <w:rPr>
          <w:sz w:val="20"/>
          <w:szCs w:val="20"/>
          <w:color w:val="auto"/>
        </w:rPr>
      </w:pPr>
    </w:p>
    <w:p>
      <w:pPr>
        <w:jc w:val="both"/>
        <w:ind w:left="240" w:right="419"/>
        <w:spacing w:after="0" w:line="265"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9019"/>
          </w:cols>
          <w:pgMar w:left="1440" w:top="238" w:right="1440" w:bottom="1440" w:gutter="0" w:footer="0" w:header="0"/>
        </w:sectPr>
      </w:pPr>
    </w:p>
    <w:bookmarkStart w:id="143" w:name="page144"/>
    <w:bookmarkEnd w:id="143"/>
    <w:p>
      <w:pPr>
        <w:ind w:left="240" w:right="659"/>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2" w:lineRule="exact"/>
        <w:rPr>
          <w:sz w:val="20"/>
          <w:szCs w:val="20"/>
          <w:color w:val="auto"/>
        </w:rPr>
      </w:pPr>
    </w:p>
    <w:p>
      <w:pPr>
        <w:ind w:left="240" w:right="659"/>
        <w:spacing w:after="0" w:line="283"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officers.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-5715</wp:posOffset>
            </wp:positionV>
            <wp:extent cx="35369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353695" cy="6350"/>
                    </a:xfrm>
                    <a:prstGeom prst="rect">
                      <a:avLst/>
                    </a:prstGeom>
                    <a:noFill/>
                  </pic:spPr>
                </pic:pic>
              </a:graphicData>
            </a:graphic>
          </wp:anchor>
        </w:drawing>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ANNEXON, INC.</w:t>
      </w:r>
      <w:r>
        <w:rPr>
          <w:rFonts w:ascii="Times New Roman" w:cs="Times New Roman" w:eastAsia="Times New Roman" w:hAnsi="Times New Roman"/>
          <w:sz w:val="14"/>
          <w:szCs w:val="14"/>
          <w:color w:val="auto"/>
        </w:rPr>
        <w:t>, as Company</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17145</wp:posOffset>
            </wp:positionV>
            <wp:extent cx="171259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-95250</wp:posOffset>
            </wp:positionV>
            <wp:extent cx="171259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127635</wp:posOffset>
            </wp:positionV>
            <wp:extent cx="171259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14605</wp:posOffset>
            </wp:positionV>
            <wp:extent cx="171259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17145</wp:posOffset>
            </wp:positionV>
            <wp:extent cx="171259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-95250</wp:posOffset>
            </wp:positionV>
            <wp:extent cx="171259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127635</wp:posOffset>
            </wp:positionV>
            <wp:extent cx="171259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14605</wp:posOffset>
            </wp:positionV>
            <wp:extent cx="171259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[REVERSE OF WARRANT CERTIFICATE]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76"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undersigned hereby irrevocably elects to exercise ______ Warrants, evidenced by this Warrant Certificate, to purchase _______ shares of the</w:t>
      </w:r>
    </w:p>
    <w:p>
      <w:pPr>
        <w:spacing w:after="0" w:line="21" w:lineRule="exact"/>
        <w:rPr>
          <w:sz w:val="20"/>
          <w:szCs w:val="20"/>
          <w:color w:val="auto"/>
        </w:rPr>
      </w:pPr>
    </w:p>
    <w:p>
      <w:pPr>
        <w:ind w:left="240" w:right="339"/>
        <w:spacing w:after="0" w:line="251" w:lineRule="auto"/>
        <w:rPr>
          <w:sz w:val="20"/>
          <w:szCs w:val="20"/>
          <w:color w:val="auto"/>
        </w:rPr>
      </w:pPr>
      <w:r>
        <w:rPr>
          <w:rFonts w:ascii="Times New Roman" w:cs="Times New Roman" w:eastAsia="Times New Roman" w:hAnsi="Times New Roman"/>
          <w:sz w:val="14"/>
          <w:szCs w:val="14"/>
          <w:color w:val="auto"/>
        </w:rPr>
        <w:t>Common Stock, par value $0.001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Annexon,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Annexon,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47"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Dated: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9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color w:val="auto"/>
              </w:rPr>
              <w:t xml:space="preserve">                </w:t>
            </w:r>
          </w:p>
        </w:tc>
        <w:tc>
          <w:tcPr>
            <w:tcW w:w="4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Name: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Address: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Please Print</w:t>
            </w:r>
          </w:p>
        </w:tc>
        <w:tc>
          <w:tcPr>
            <w:tcW w:w="0" w:type="dxa"/>
            <w:vAlign w:val="bottom"/>
          </w:tcPr>
          <w:p>
            <w:pPr>
              <w:spacing w:after="0"/>
              <w:rPr>
                <w:sz w:val="1"/>
                <w:szCs w:val="1"/>
                <w:color w:val="auto"/>
              </w:rPr>
            </w:pPr>
          </w:p>
        </w:tc>
      </w:tr>
      <w:tr>
        <w:trPr>
          <w:trHeight w:val="153"/>
        </w:trPr>
        <w:tc>
          <w:tcPr>
            <w:tcW w:w="13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tc>
        <w:tc>
          <w:tcPr>
            <w:tcW w:w="9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5"/>
              </w:rPr>
              <w:t>Signature Guaranteed: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02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Signature</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right="439"/>
        <w:spacing w:after="0" w:line="280" w:lineRule="auto"/>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145" w:name="page146"/>
    <w:bookmarkEnd w:id="145"/>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mail at:</w:t>
      </w:r>
    </w:p>
    <w:p>
      <w:pPr>
        <w:spacing w:after="0" w:line="90" w:lineRule="exact"/>
        <w:rPr>
          <w:sz w:val="20"/>
          <w:szCs w:val="20"/>
          <w:color w:val="auto"/>
        </w:rPr>
      </w:pPr>
    </w:p>
    <w:p>
      <w:pPr>
        <w:ind w:left="240" w:right="679"/>
        <w:spacing w:after="0" w:line="280" w:lineRule="auto"/>
        <w:rPr>
          <w:sz w:val="20"/>
          <w:szCs w:val="20"/>
          <w:color w:val="auto"/>
        </w:rPr>
      </w:pPr>
      <w:r>
        <w:rPr>
          <w:rFonts w:ascii="Times New Roman" w:cs="Times New Roman" w:eastAsia="Times New Roman" w:hAnsi="Times New Roman"/>
          <w:sz w:val="14"/>
          <w:szCs w:val="14"/>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9019"/>
          </w:cols>
          <w:pgMar w:left="1440" w:top="239" w:right="1440"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ASSIGNMENT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p>
      <w:pPr>
        <w:spacing w:after="0" w:line="374" w:lineRule="exact"/>
        <w:rPr>
          <w:sz w:val="20"/>
          <w:szCs w:val="20"/>
          <w:color w:val="auto"/>
        </w:rPr>
      </w:pPr>
    </w:p>
    <w:p>
      <w:pPr>
        <w:ind w:left="240"/>
        <w:spacing w:after="0"/>
        <w:tabs>
          <w:tab w:leader="none" w:pos="4820" w:val="left"/>
        </w:tabs>
        <w:rPr>
          <w:sz w:val="20"/>
          <w:szCs w:val="20"/>
          <w:color w:val="auto"/>
        </w:rPr>
      </w:pPr>
      <w:r>
        <w:rPr>
          <w:rFonts w:ascii="Times New Roman" w:cs="Times New Roman" w:eastAsia="Times New Roman" w:hAnsi="Times New Roman"/>
          <w:sz w:val="14"/>
          <w:szCs w:val="14"/>
          <w:color w:val="auto"/>
        </w:rPr>
        <w:t>(Please print name and address including zip code)</w:t>
      </w:r>
      <w:r>
        <w:rPr>
          <w:sz w:val="20"/>
          <w:szCs w:val="20"/>
          <w:color w:val="auto"/>
        </w:rPr>
        <w:tab/>
      </w:r>
      <w:r>
        <w:rPr>
          <w:rFonts w:ascii="Times New Roman" w:cs="Times New Roman" w:eastAsia="Times New Roman" w:hAnsi="Times New Roman"/>
          <w:sz w:val="13"/>
          <w:szCs w:val="13"/>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-99060</wp:posOffset>
            </wp:positionV>
            <wp:extent cx="541718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right represented by the within Warrant to purchase _______________ shares of [Title of Warrant Securities] of Annexon, Inc. to which the within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Warrant relates and appoints ____________________ attorney to transfer such right on the books of the Warrant Agent with full power of substitution in</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premises.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580" w:type="dxa"/>
            <w:vAlign w:val="bottom"/>
          </w:tcPr>
          <w:p>
            <w:pPr>
              <w:spacing w:after="0"/>
              <w:rPr>
                <w:sz w:val="15"/>
                <w:szCs w:val="15"/>
                <w:color w:val="auto"/>
              </w:rPr>
            </w:pPr>
          </w:p>
        </w:tc>
        <w:tc>
          <w:tcPr>
            <w:tcW w:w="4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Name:</w:t>
            </w:r>
          </w:p>
        </w:tc>
      </w:tr>
      <w:tr>
        <w:trPr>
          <w:trHeight w:val="173"/>
        </w:trPr>
        <w:tc>
          <w:tcPr>
            <w:tcW w:w="420" w:type="dxa"/>
            <w:vAlign w:val="bottom"/>
          </w:tcPr>
          <w:p>
            <w:pPr>
              <w:spacing w:after="0"/>
              <w:rPr>
                <w:sz w:val="15"/>
                <w:szCs w:val="15"/>
                <w:color w:val="auto"/>
              </w:rPr>
            </w:pPr>
          </w:p>
        </w:tc>
        <w:tc>
          <w:tcPr>
            <w:tcW w:w="358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358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Signature</w:t>
            </w:r>
          </w:p>
        </w:tc>
      </w:tr>
    </w:tbl>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-5715</wp:posOffset>
            </wp:positionV>
            <wp:extent cx="143383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1433830" cy="635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147" w:name="page148"/>
    <w:bookmarkEnd w:id="147"/>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ANNEXON, INC.</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__________</w:t>
      </w:r>
    </w:p>
    <w:p>
      <w:pPr>
        <w:sectPr>
          <w:pgSz w:w="11900" w:h="16838" w:orient="portrait"/>
          <w:cols w:equalWidth="0" w:num="1">
            <w:col w:w="9019"/>
          </w:cols>
          <w:pgMar w:left="1440" w:top="123" w:right="1440"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w:t>
      </w:r>
      <w:r>
        <w:rPr>
          <w:rFonts w:ascii="Times New Roman" w:cs="Times New Roman" w:eastAsia="Times New Roman" w:hAnsi="Times New Roman"/>
          <w:sz w:val="11"/>
          <w:szCs w:val="11"/>
          <w:b w:val="1"/>
          <w:bCs w:val="1"/>
          <w:color w:val="auto"/>
        </w:rPr>
        <w:t>NNEXON</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4" w:lineRule="exact"/>
        <w:rPr>
          <w:sz w:val="20"/>
          <w:szCs w:val="20"/>
          <w:color w:val="auto"/>
        </w:rPr>
      </w:pPr>
    </w:p>
    <w:p>
      <w:pPr>
        <w:ind w:left="240" w:right="35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NNEXON</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Delaware corporation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w:t>
      </w:r>
      <w:r>
        <w:rPr>
          <w:rFonts w:ascii="Times New Roman" w:cs="Times New Roman" w:eastAsia="Times New Roman" w:hAnsi="Times New Roman"/>
          <w:sz w:val="14"/>
          <w:szCs w:val="14"/>
          <w:b w:val="1"/>
          <w:bCs w:val="1"/>
          <w:i w:val="1"/>
          <w:iCs w:val="1"/>
          <w:color w:val="auto"/>
        </w:rPr>
        <w:t>If Warrants are sold with other securities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[title of such other securities being offered] (the “</w:t>
      </w:r>
      <w:r>
        <w:rPr>
          <w:rFonts w:ascii="Times New Roman" w:cs="Times New Roman" w:eastAsia="Times New Roman" w:hAnsi="Times New Roman"/>
          <w:sz w:val="14"/>
          <w:szCs w:val="14"/>
          <w:b w:val="1"/>
          <w:bCs w:val="1"/>
          <w:i w:val="1"/>
          <w:iCs w:val="1"/>
          <w:color w:val="auto"/>
        </w:rPr>
        <w:t>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with] warrant certificates 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[title of Preferred Stock purchasable through exercise of Warrants] of the Company, par value $0.001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9" w:lineRule="exact"/>
        <w:rPr>
          <w:sz w:val="20"/>
          <w:szCs w:val="20"/>
          <w:color w:val="auto"/>
        </w:rPr>
      </w:pPr>
    </w:p>
    <w:p>
      <w:pPr>
        <w:ind w:left="240" w:right="49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3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57" w:lineRule="exact"/>
        <w:rPr>
          <w:sz w:val="20"/>
          <w:szCs w:val="20"/>
          <w:color w:val="auto"/>
        </w:rPr>
      </w:pPr>
    </w:p>
    <w:p>
      <w:pPr>
        <w:ind w:left="240" w:right="259" w:firstLine="341"/>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1.1 Issuance of Warrants.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If Warrants alone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—Upon issuance, each Warrant Certificate shall evidence one or more Warrants.] [</w:t>
      </w:r>
      <w:r>
        <w:rPr>
          <w:rFonts w:ascii="Times New Roman" w:cs="Times New Roman" w:eastAsia="Times New Roman" w:hAnsi="Times New Roman"/>
          <w:sz w:val="13"/>
          <w:szCs w:val="13"/>
          <w:b w:val="1"/>
          <w:bCs w:val="1"/>
          <w:i w:val="1"/>
          <w:iCs w:val="1"/>
          <w:color w:val="auto"/>
        </w:rPr>
        <w:t>If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 xml:space="preserve">Securities and Warrants </w:t>
      </w:r>
      <w:r>
        <w:rPr>
          <w:rFonts w:ascii="Times New Roman" w:cs="Times New Roman" w:eastAsia="Times New Roman" w:hAnsi="Times New Roman"/>
          <w:sz w:val="13"/>
          <w:szCs w:val="13"/>
          <w:color w:val="auto"/>
        </w:rPr>
        <w:t>—Warrant Certificates will be issued in connection with the issuance of the Other Securities but shall be separately transferable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3"/>
          <w:szCs w:val="13"/>
          <w:b w:val="1"/>
          <w:bCs w:val="1"/>
          <w:i w:val="1"/>
          <w:iCs w:val="1"/>
          <w:color w:val="auto"/>
        </w:rPr>
        <w:t>If Other Securities and Warrants</w:t>
      </w:r>
      <w:r>
        <w:rPr>
          <w:rFonts w:ascii="Times New Roman" w:cs="Times New Roman" w:eastAsia="Times New Roman" w:hAnsi="Times New Roman"/>
          <w:sz w:val="13"/>
          <w:szCs w:val="13"/>
          <w:color w:val="auto"/>
        </w:rPr>
        <w:t xml:space="preserve"> —Warrant Certificates will be issued with the Other Securities and each Warrant Certificate will evidence [•] Warrants for each [$[•] principal amount] [[•] shares] of Other Securities issued.]</w:t>
      </w:r>
    </w:p>
    <w:p>
      <w:pPr>
        <w:spacing w:after="0" w:line="125" w:lineRule="exact"/>
        <w:rPr>
          <w:sz w:val="20"/>
          <w:szCs w:val="20"/>
          <w:color w:val="auto"/>
        </w:rPr>
      </w:pPr>
    </w:p>
    <w:p>
      <w:pPr>
        <w:ind w:left="240" w:right="299" w:firstLine="341"/>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form set forth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149" w:name="page150"/>
    <w:bookmarkEnd w:id="149"/>
    <w:p>
      <w:pPr>
        <w:jc w:val="both"/>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3"/>
          <w:szCs w:val="13"/>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27" w:lineRule="exact"/>
        <w:rPr>
          <w:sz w:val="20"/>
          <w:szCs w:val="20"/>
          <w:color w:val="auto"/>
        </w:rPr>
      </w:pPr>
    </w:p>
    <w:p>
      <w:pPr>
        <w:ind w:left="240" w:right="379" w:firstLine="341"/>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2"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Securities may be executed by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4"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240" w:right="33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6" w:lineRule="exact"/>
        <w:rPr>
          <w:sz w:val="20"/>
          <w:szCs w:val="20"/>
          <w:color w:val="auto"/>
        </w:rPr>
      </w:pPr>
    </w:p>
    <w:p>
      <w:pPr>
        <w:ind w:left="240" w:right="359" w:firstLine="766"/>
        <w:spacing w:after="0" w:line="259" w:lineRule="auto"/>
        <w:tabs>
          <w:tab w:leader="none" w:pos="1205" w:val="left"/>
        </w:tabs>
        <w:numPr>
          <w:ilvl w:val="0"/>
          <w:numId w:val="1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50" w:name="page151"/>
    <w:bookmarkEnd w:id="150"/>
    <w:p>
      <w:pPr>
        <w:ind w:left="240" w:right="2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52" w:lineRule="exact"/>
        <w:rPr>
          <w:sz w:val="20"/>
          <w:szCs w:val="20"/>
          <w:color w:val="auto"/>
        </w:rPr>
      </w:pPr>
    </w:p>
    <w:p>
      <w:pPr>
        <w:ind w:left="240" w:right="379" w:firstLine="766"/>
        <w:spacing w:after="0" w:line="286" w:lineRule="auto"/>
        <w:tabs>
          <w:tab w:leader="none" w:pos="1213"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23" w:lineRule="exact"/>
        <w:rPr>
          <w:rFonts w:ascii="Times New Roman" w:cs="Times New Roman" w:eastAsia="Times New Roman" w:hAnsi="Times New Roman"/>
          <w:sz w:val="13"/>
          <w:szCs w:val="13"/>
          <w:b w:val="1"/>
          <w:bCs w:val="1"/>
          <w:color w:val="auto"/>
        </w:rPr>
      </w:pPr>
    </w:p>
    <w:p>
      <w:pPr>
        <w:ind w:left="240" w:right="279" w:firstLine="766"/>
        <w:spacing w:after="0" w:line="257" w:lineRule="auto"/>
        <w:tabs>
          <w:tab w:leader="none" w:pos="1197"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1" w:lineRule="exact"/>
        <w:rPr>
          <w:rFonts w:ascii="Times New Roman" w:cs="Times New Roman" w:eastAsia="Times New Roman" w:hAnsi="Times New Roman"/>
          <w:sz w:val="14"/>
          <w:szCs w:val="14"/>
          <w:b w:val="1"/>
          <w:bCs w:val="1"/>
          <w:color w:val="auto"/>
        </w:rPr>
      </w:pPr>
    </w:p>
    <w:p>
      <w:pPr>
        <w:ind w:left="240" w:right="339" w:firstLine="766"/>
        <w:spacing w:after="0" w:line="259" w:lineRule="auto"/>
        <w:tabs>
          <w:tab w:leader="none" w:pos="1213"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41" w:lineRule="exact"/>
        <w:rPr>
          <w:rFonts w:ascii="Times New Roman" w:cs="Times New Roman" w:eastAsia="Times New Roman" w:hAnsi="Times New Roman"/>
          <w:sz w:val="14"/>
          <w:szCs w:val="14"/>
          <w:b w:val="1"/>
          <w:bCs w:val="1"/>
          <w:color w:val="auto"/>
        </w:rPr>
      </w:pPr>
    </w:p>
    <w:p>
      <w:pPr>
        <w:ind w:left="240" w:right="459" w:firstLine="766"/>
        <w:spacing w:after="0" w:line="280" w:lineRule="auto"/>
        <w:tabs>
          <w:tab w:leader="none" w:pos="1197"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51" w:name="page152"/>
    <w:bookmarkEnd w:id="151"/>
    <w:p>
      <w:pPr>
        <w:ind w:left="4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3</w:t>
      </w:r>
    </w:p>
    <w:p>
      <w:pPr>
        <w:spacing w:after="0" w:line="9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57" w:lineRule="exact"/>
        <w:rPr>
          <w:sz w:val="20"/>
          <w:szCs w:val="20"/>
          <w:color w:val="auto"/>
        </w:rPr>
      </w:pPr>
    </w:p>
    <w:p>
      <w:pPr>
        <w:ind w:left="240" w:right="4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3.1 No Rights as Warrant Securityholder Conferred by Warrants or Warrant Certificates. </w:t>
      </w:r>
      <w:r>
        <w:rPr>
          <w:rFonts w:ascii="Times New Roman" w:cs="Times New Roman" w:eastAsia="Times New Roman" w:hAnsi="Times New Roman"/>
          <w:sz w:val="14"/>
          <w:szCs w:val="14"/>
          <w:color w:val="auto"/>
        </w:rPr>
        <w:t>No Warrant Certificate or Warrant evidenced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9" w:lineRule="exact"/>
        <w:rPr>
          <w:sz w:val="20"/>
          <w:szCs w:val="20"/>
          <w:color w:val="auto"/>
        </w:rPr>
      </w:pPr>
    </w:p>
    <w:p>
      <w:pPr>
        <w:ind w:left="240" w:right="279" w:firstLine="341"/>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3.2 Lost, Stolen, Mutilated or Destroyed Warrant Certificates. </w:t>
      </w:r>
      <w:r>
        <w:rPr>
          <w:rFonts w:ascii="Times New Roman" w:cs="Times New Roman" w:eastAsia="Times New Roman" w:hAnsi="Times New Roman"/>
          <w:sz w:val="13"/>
          <w:szCs w:val="13"/>
          <w:color w:val="auto"/>
        </w:rPr>
        <w:t>Upon receipt by the Warrant Agent of evidence reasonably satisfactory to it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31"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3.4 Adjustments.</w:t>
      </w:r>
    </w:p>
    <w:p>
      <w:pPr>
        <w:spacing w:after="0" w:line="176" w:lineRule="exact"/>
        <w:rPr>
          <w:sz w:val="20"/>
          <w:szCs w:val="20"/>
          <w:color w:val="auto"/>
        </w:rPr>
      </w:pPr>
    </w:p>
    <w:p>
      <w:pPr>
        <w:ind w:left="240" w:right="399" w:firstLine="766"/>
        <w:spacing w:after="0" w:line="255" w:lineRule="auto"/>
        <w:tabs>
          <w:tab w:leader="none" w:pos="1205"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152" w:name="page153"/>
    <w:bookmarkEnd w:id="152"/>
    <w:p>
      <w:pPr>
        <w:ind w:left="240" w:right="379" w:firstLine="766"/>
        <w:spacing w:after="0" w:line="265" w:lineRule="auto"/>
        <w:tabs>
          <w:tab w:leader="none" w:pos="1213"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35" w:lineRule="exact"/>
        <w:rPr>
          <w:rFonts w:ascii="Times New Roman" w:cs="Times New Roman" w:eastAsia="Times New Roman" w:hAnsi="Times New Roman"/>
          <w:sz w:val="14"/>
          <w:szCs w:val="14"/>
          <w:b w:val="1"/>
          <w:bCs w:val="1"/>
          <w:color w:val="auto"/>
        </w:rPr>
      </w:pPr>
    </w:p>
    <w:p>
      <w:pPr>
        <w:jc w:val="both"/>
        <w:ind w:left="240" w:right="279" w:firstLine="1107"/>
        <w:spacing w:after="0" w:line="265" w:lineRule="auto"/>
        <w:tabs>
          <w:tab w:leader="none" w:pos="1515" w:val="left"/>
        </w:tabs>
        <w:numPr>
          <w:ilvl w:val="1"/>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35" w:lineRule="exact"/>
        <w:rPr>
          <w:rFonts w:ascii="Times New Roman" w:cs="Times New Roman" w:eastAsia="Times New Roman" w:hAnsi="Times New Roman"/>
          <w:sz w:val="14"/>
          <w:szCs w:val="14"/>
          <w:b w:val="1"/>
          <w:bCs w:val="1"/>
          <w:color w:val="auto"/>
        </w:rPr>
      </w:pPr>
    </w:p>
    <w:p>
      <w:pPr>
        <w:ind w:left="240" w:right="279" w:firstLine="1107"/>
        <w:spacing w:after="0" w:line="280" w:lineRule="auto"/>
        <w:tabs>
          <w:tab w:leader="none" w:pos="1554" w:val="left"/>
        </w:tabs>
        <w:numPr>
          <w:ilvl w:val="1"/>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26" w:lineRule="exact"/>
        <w:rPr>
          <w:rFonts w:ascii="Times New Roman" w:cs="Times New Roman" w:eastAsia="Times New Roman" w:hAnsi="Times New Roman"/>
          <w:sz w:val="14"/>
          <w:szCs w:val="14"/>
          <w:b w:val="1"/>
          <w:bCs w:val="1"/>
          <w:color w:val="auto"/>
        </w:rPr>
      </w:pPr>
    </w:p>
    <w:p>
      <w:pPr>
        <w:ind w:left="1600" w:hanging="253"/>
        <w:spacing w:after="0"/>
        <w:tabs>
          <w:tab w:leader="none" w:pos="1600" w:val="left"/>
        </w:tabs>
        <w:numPr>
          <w:ilvl w:val="1"/>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evidence of the Company’s indebtedness or rights to subscribe for or purchase the Company’s indebtedness; or</w:t>
      </w:r>
    </w:p>
    <w:p>
      <w:pPr>
        <w:spacing w:after="0" w:line="173" w:lineRule="exact"/>
        <w:rPr>
          <w:rFonts w:ascii="Times New Roman" w:cs="Times New Roman" w:eastAsia="Times New Roman" w:hAnsi="Times New Roman"/>
          <w:sz w:val="14"/>
          <w:szCs w:val="14"/>
          <w:b w:val="1"/>
          <w:bCs w:val="1"/>
          <w:color w:val="auto"/>
        </w:rPr>
      </w:pPr>
    </w:p>
    <w:p>
      <w:pPr>
        <w:ind w:left="240" w:right="259" w:firstLine="1107"/>
        <w:spacing w:after="0" w:line="276" w:lineRule="auto"/>
        <w:tabs>
          <w:tab w:leader="none" w:pos="1585" w:val="left"/>
        </w:tabs>
        <w:numPr>
          <w:ilvl w:val="1"/>
          <w:numId w:val="1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30" w:lineRule="exact"/>
        <w:rPr>
          <w:rFonts w:ascii="Times New Roman" w:cs="Times New Roman" w:eastAsia="Times New Roman" w:hAnsi="Times New Roman"/>
          <w:sz w:val="13"/>
          <w:szCs w:val="13"/>
          <w:b w:val="1"/>
          <w:bCs w:val="1"/>
          <w:color w:val="auto"/>
        </w:rPr>
      </w:pPr>
    </w:p>
    <w:p>
      <w:pPr>
        <w:ind w:left="240" w:right="299" w:firstLine="766"/>
        <w:spacing w:after="0" w:line="251" w:lineRule="auto"/>
        <w:tabs>
          <w:tab w:leader="none" w:pos="1197"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53" w:name="page154"/>
    <w:bookmarkEnd w:id="153"/>
    <w:p>
      <w:pPr>
        <w:ind w:left="240" w:right="3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50" w:lineRule="exact"/>
        <w:rPr>
          <w:sz w:val="20"/>
          <w:szCs w:val="20"/>
          <w:color w:val="auto"/>
        </w:rPr>
      </w:pPr>
    </w:p>
    <w:p>
      <w:pPr>
        <w:jc w:val="both"/>
        <w:ind w:left="240" w:right="439" w:firstLine="766"/>
        <w:spacing w:after="0" w:line="265" w:lineRule="auto"/>
        <w:tabs>
          <w:tab w:leader="none" w:pos="1213"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35" w:lineRule="exact"/>
        <w:rPr>
          <w:rFonts w:ascii="Times New Roman" w:cs="Times New Roman" w:eastAsia="Times New Roman" w:hAnsi="Times New Roman"/>
          <w:sz w:val="14"/>
          <w:szCs w:val="14"/>
          <w:b w:val="1"/>
          <w:bCs w:val="1"/>
          <w:color w:val="auto"/>
        </w:rPr>
      </w:pPr>
    </w:p>
    <w:p>
      <w:pPr>
        <w:ind w:left="240" w:right="599" w:firstLine="766"/>
        <w:spacing w:after="0" w:line="280" w:lineRule="auto"/>
        <w:tabs>
          <w:tab w:leader="none" w:pos="1197"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herein otherwise expressly provided, no adjustment in the Warrant Price shall be made by reason of the issuance of any securities of the Company or for any other reason whatsoever.</w:t>
      </w:r>
    </w:p>
    <w:p>
      <w:pPr>
        <w:spacing w:after="0" w:line="126" w:lineRule="exact"/>
        <w:rPr>
          <w:rFonts w:ascii="Times New Roman" w:cs="Times New Roman" w:eastAsia="Times New Roman" w:hAnsi="Times New Roman"/>
          <w:sz w:val="14"/>
          <w:szCs w:val="14"/>
          <w:b w:val="1"/>
          <w:bCs w:val="1"/>
          <w:color w:val="auto"/>
        </w:rPr>
      </w:pPr>
    </w:p>
    <w:p>
      <w:pPr>
        <w:ind w:left="240" w:right="339" w:firstLine="766"/>
        <w:spacing w:after="0" w:line="272" w:lineRule="auto"/>
        <w:tabs>
          <w:tab w:leader="none" w:pos="1182" w:val="left"/>
        </w:tabs>
        <w:numPr>
          <w:ilvl w:val="0"/>
          <w:numId w:val="1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3"/>
          <w:szCs w:val="13"/>
          <w:b w:val="1"/>
          <w:bCs w:val="1"/>
          <w:i w:val="1"/>
          <w:iCs w:val="1"/>
          <w:color w:val="auto"/>
        </w:rPr>
        <w:t>OTC Bulletin Board</w:t>
      </w:r>
      <w:r>
        <w:rPr>
          <w:rFonts w:ascii="Times New Roman" w:cs="Times New Roman" w:eastAsia="Times New Roman" w:hAnsi="Times New Roman"/>
          <w:sz w:val="13"/>
          <w:szCs w:val="13"/>
          <w:color w:val="auto"/>
        </w:rPr>
        <w:t>”) operated by the Financial Industry Regulatory Authority, Inc. (“</w:t>
      </w:r>
      <w:r>
        <w:rPr>
          <w:rFonts w:ascii="Times New Roman" w:cs="Times New Roman" w:eastAsia="Times New Roman" w:hAnsi="Times New Roman"/>
          <w:sz w:val="13"/>
          <w:szCs w:val="13"/>
          <w:b w:val="1"/>
          <w:bCs w:val="1"/>
          <w:i w:val="1"/>
          <w:iCs w:val="1"/>
          <w:color w:val="auto"/>
        </w:rPr>
        <w:t>FINRA</w:t>
      </w:r>
      <w:r>
        <w:rPr>
          <w:rFonts w:ascii="Times New Roman" w:cs="Times New Roman" w:eastAsia="Times New Roman" w:hAnsi="Times New Roman"/>
          <w:sz w:val="13"/>
          <w:szCs w:val="13"/>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39" w:lineRule="exact"/>
        <w:rPr>
          <w:rFonts w:ascii="Times New Roman" w:cs="Times New Roman" w:eastAsia="Times New Roman" w:hAnsi="Times New Roman"/>
          <w:sz w:val="13"/>
          <w:szCs w:val="13"/>
          <w:b w:val="1"/>
          <w:bCs w:val="1"/>
          <w:color w:val="auto"/>
        </w:rPr>
      </w:pPr>
    </w:p>
    <w:p>
      <w:pPr>
        <w:ind w:left="240" w:right="459" w:firstLine="766"/>
        <w:spacing w:after="0" w:line="265" w:lineRule="auto"/>
        <w:tabs>
          <w:tab w:leader="none" w:pos="1205"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54" w:name="page155"/>
    <w:bookmarkEnd w:id="154"/>
    <w:p>
      <w:pPr>
        <w:ind w:left="240" w:right="379" w:firstLine="766"/>
        <w:spacing w:after="0" w:line="280" w:lineRule="auto"/>
        <w:tabs>
          <w:tab w:leader="none" w:pos="1213"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24"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dividend or distribution described in Section 3.4(b), (b) effect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3.6 </w:t>
      </w:r>
      <w:r>
        <w:rPr>
          <w:rFonts w:ascii="Times New Roman" w:cs="Times New Roman" w:eastAsia="Times New Roman" w:hAnsi="Times New Roman"/>
          <w:sz w:val="14"/>
          <w:szCs w:val="14"/>
          <w:color w:val="auto"/>
        </w:rPr>
        <w:t>[If the Warrants are Subject to Acceleration by the Company, Insert — Acceleration of Warrants by the Company.</w:t>
      </w:r>
    </w:p>
    <w:p>
      <w:pPr>
        <w:spacing w:after="0" w:line="176" w:lineRule="exact"/>
        <w:rPr>
          <w:sz w:val="20"/>
          <w:szCs w:val="20"/>
          <w:color w:val="auto"/>
        </w:rPr>
      </w:pPr>
    </w:p>
    <w:p>
      <w:pPr>
        <w:ind w:left="240" w:right="359" w:firstLine="766"/>
        <w:spacing w:after="0" w:line="257" w:lineRule="auto"/>
        <w:tabs>
          <w:tab w:leader="none" w:pos="1205"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4"/>
          <w:szCs w:val="14"/>
          <w:b w:val="1"/>
          <w:bCs w:val="1"/>
          <w:i w:val="1"/>
          <w:iCs w:val="1"/>
          <w:color w:val="auto"/>
        </w:rPr>
        <w:t>Acceleration Date</w:t>
      </w:r>
      <w:r>
        <w:rPr>
          <w:rFonts w:ascii="Times New Roman" w:cs="Times New Roman" w:eastAsia="Times New Roman" w:hAnsi="Times New Roman"/>
          <w:sz w:val="14"/>
          <w:szCs w:val="14"/>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39" w:lineRule="exact"/>
        <w:rPr>
          <w:rFonts w:ascii="Times New Roman" w:cs="Times New Roman" w:eastAsia="Times New Roman" w:hAnsi="Times New Roman"/>
          <w:sz w:val="14"/>
          <w:szCs w:val="14"/>
          <w:b w:val="1"/>
          <w:bCs w:val="1"/>
          <w:color w:val="auto"/>
        </w:rPr>
      </w:pPr>
    </w:p>
    <w:p>
      <w:pPr>
        <w:ind w:left="240" w:right="259" w:firstLine="766"/>
        <w:spacing w:after="0" w:line="252" w:lineRule="auto"/>
        <w:tabs>
          <w:tab w:leader="none" w:pos="1213"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Market Price</w:t>
      </w:r>
      <w:r>
        <w:rPr>
          <w:rFonts w:ascii="Times New Roman" w:cs="Times New Roman" w:eastAsia="Times New Roman" w:hAnsi="Times New Roman"/>
          <w:sz w:val="14"/>
          <w:szCs w:val="14"/>
          <w:color w:val="auto"/>
        </w:rPr>
        <w:t>” for each Trading Day shall be, if the [title of Preferred Stock purchasable through exercise of Warrants] is listed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55" w:name="page156"/>
    <w:bookmarkEnd w:id="155"/>
    <w:p>
      <w:pPr>
        <w:ind w:left="240" w:right="279" w:firstLine="766"/>
        <w:spacing w:after="0" w:line="257" w:lineRule="auto"/>
        <w:tabs>
          <w:tab w:leader="none" w:pos="1197"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41" w:lineRule="exact"/>
        <w:rPr>
          <w:rFonts w:ascii="Times New Roman" w:cs="Times New Roman" w:eastAsia="Times New Roman" w:hAnsi="Times New Roman"/>
          <w:sz w:val="14"/>
          <w:szCs w:val="14"/>
          <w:b w:val="1"/>
          <w:bCs w:val="1"/>
          <w:color w:val="auto"/>
        </w:rPr>
      </w:pPr>
    </w:p>
    <w:p>
      <w:pPr>
        <w:ind w:left="240" w:right="439" w:firstLine="766"/>
        <w:spacing w:after="0" w:line="280" w:lineRule="auto"/>
        <w:tabs>
          <w:tab w:leader="none" w:pos="1213"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Warrant accelerated may be exercised until [•] p.m., [City] time, on the business day next preceding the Acceleration Date. The Warrant Price shall be payable as provided in Section 2.]</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4" w:lineRule="exact"/>
        <w:rPr>
          <w:sz w:val="20"/>
          <w:szCs w:val="20"/>
          <w:color w:val="auto"/>
        </w:rPr>
      </w:pPr>
    </w:p>
    <w:p>
      <w:pPr>
        <w:ind w:left="240" w:right="259" w:firstLine="341"/>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50" w:lineRule="exact"/>
        <w:rPr>
          <w:sz w:val="20"/>
          <w:szCs w:val="20"/>
          <w:color w:val="auto"/>
        </w:rPr>
      </w:pPr>
    </w:p>
    <w:p>
      <w:pPr>
        <w:ind w:left="240" w:right="29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as the absolute owner thereof for any purpose and as the person entitled to exercise the rights represented by the Warrants evidenced thereby, any notice to the contrary notwithstanding.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56" w:name="page157"/>
    <w:bookmarkEnd w:id="156"/>
    <w:p>
      <w:pPr>
        <w:ind w:left="240" w:right="27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4"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8" w:lineRule="exact"/>
        <w:rPr>
          <w:sz w:val="20"/>
          <w:szCs w:val="20"/>
          <w:color w:val="auto"/>
        </w:rPr>
      </w:pPr>
    </w:p>
    <w:p>
      <w:pPr>
        <w:jc w:val="both"/>
        <w:ind w:left="240" w:right="63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including the following to all of which the Company agrees and to all of which the rights hereunder of the holders from time to time of the Warrant Certificates shall be subject:</w:t>
      </w:r>
    </w:p>
    <w:p>
      <w:pPr>
        <w:spacing w:after="0" w:line="50" w:lineRule="exact"/>
        <w:rPr>
          <w:sz w:val="20"/>
          <w:szCs w:val="20"/>
          <w:color w:val="auto"/>
        </w:rPr>
      </w:pPr>
    </w:p>
    <w:p>
      <w:pPr>
        <w:ind w:left="240" w:right="339" w:firstLine="766"/>
        <w:spacing w:after="0" w:line="256" w:lineRule="auto"/>
        <w:tabs>
          <w:tab w:leader="none" w:pos="1205"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Compensation and Indemnification. </w:t>
      </w:r>
      <w:r>
        <w:rPr>
          <w:rFonts w:ascii="Times New Roman" w:cs="Times New Roman" w:eastAsia="Times New Roman" w:hAnsi="Times New Roman"/>
          <w:sz w:val="14"/>
          <w:szCs w:val="14"/>
          <w:color w:val="auto"/>
        </w:rPr>
        <w:t>The Company agrees promptly to pay the Warrant Agent the compensation to be agreed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0" w:lineRule="exact"/>
        <w:rPr>
          <w:rFonts w:ascii="Times New Roman" w:cs="Times New Roman" w:eastAsia="Times New Roman" w:hAnsi="Times New Roman"/>
          <w:sz w:val="14"/>
          <w:szCs w:val="14"/>
          <w:b w:val="1"/>
          <w:bCs w:val="1"/>
          <w:color w:val="auto"/>
        </w:rPr>
      </w:pPr>
    </w:p>
    <w:p>
      <w:pPr>
        <w:ind w:left="240" w:right="339" w:firstLine="766"/>
        <w:spacing w:after="0" w:line="266" w:lineRule="auto"/>
        <w:tabs>
          <w:tab w:leader="none" w:pos="1213"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solely as agent of the Company and does not assume any obligations or relationship of agency or trust for or with any of the holders of Warrant Certificates or beneficial owners of Warrants.</w:t>
      </w:r>
    </w:p>
    <w:p>
      <w:pPr>
        <w:spacing w:after="0" w:line="133" w:lineRule="exact"/>
        <w:rPr>
          <w:rFonts w:ascii="Times New Roman" w:cs="Times New Roman" w:eastAsia="Times New Roman" w:hAnsi="Times New Roman"/>
          <w:sz w:val="14"/>
          <w:szCs w:val="14"/>
          <w:b w:val="1"/>
          <w:bCs w:val="1"/>
          <w:color w:val="auto"/>
        </w:rPr>
      </w:pPr>
    </w:p>
    <w:p>
      <w:pPr>
        <w:ind w:left="240" w:right="299" w:firstLine="766"/>
        <w:spacing w:after="0" w:line="266" w:lineRule="auto"/>
        <w:tabs>
          <w:tab w:leader="none" w:pos="1197"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advice of such counsel shall be full and complete authorization and protection in respect of any action taken, suffered or omitted by it hereunder in good faith and in accordance with the advice of such counsel.</w:t>
      </w:r>
    </w:p>
    <w:p>
      <w:pPr>
        <w:spacing w:after="0" w:line="133" w:lineRule="exact"/>
        <w:rPr>
          <w:rFonts w:ascii="Times New Roman" w:cs="Times New Roman" w:eastAsia="Times New Roman" w:hAnsi="Times New Roman"/>
          <w:sz w:val="14"/>
          <w:szCs w:val="14"/>
          <w:b w:val="1"/>
          <w:bCs w:val="1"/>
          <w:color w:val="auto"/>
        </w:rPr>
      </w:pPr>
    </w:p>
    <w:p>
      <w:pPr>
        <w:ind w:left="240" w:right="319" w:firstLine="766"/>
        <w:spacing w:after="0" w:line="266" w:lineRule="auto"/>
        <w:tabs>
          <w:tab w:leader="none" w:pos="1213"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3" w:lineRule="exact"/>
        <w:rPr>
          <w:rFonts w:ascii="Times New Roman" w:cs="Times New Roman" w:eastAsia="Times New Roman" w:hAnsi="Times New Roman"/>
          <w:sz w:val="14"/>
          <w:szCs w:val="14"/>
          <w:b w:val="1"/>
          <w:bCs w:val="1"/>
          <w:color w:val="auto"/>
        </w:rPr>
      </w:pPr>
    </w:p>
    <w:p>
      <w:pPr>
        <w:jc w:val="both"/>
        <w:ind w:left="240" w:right="279" w:firstLine="766"/>
        <w:spacing w:after="0" w:line="266" w:lineRule="auto"/>
        <w:tabs>
          <w:tab w:leader="none" w:pos="1197"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Certain Transactions. </w:t>
      </w:r>
      <w:r>
        <w:rPr>
          <w:rFonts w:ascii="Times New Roman" w:cs="Times New Roman" w:eastAsia="Times New Roman" w:hAnsi="Times New Roman"/>
          <w:sz w:val="14"/>
          <w:szCs w:val="14"/>
          <w:color w:val="auto"/>
        </w:rPr>
        <w:t>The Warrant Agent, and its officers, directors and employees, may become the owner of, or acquire any interest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Warrants, with the same rights that it or they would have if it were not the Warrant Agent hereunder, and, to the extent permitted by applicable law, it or they may engage or be interested in any financial or other transaction with the Company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157" w:name="page158"/>
    <w:bookmarkEnd w:id="157"/>
    <w:p>
      <w:pPr>
        <w:jc w:val="both"/>
        <w:ind w:left="24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34" w:lineRule="exact"/>
        <w:rPr>
          <w:sz w:val="20"/>
          <w:szCs w:val="20"/>
          <w:color w:val="auto"/>
        </w:rPr>
      </w:pPr>
    </w:p>
    <w:p>
      <w:pPr>
        <w:ind w:left="240" w:right="539" w:firstLine="766"/>
        <w:spacing w:after="0" w:line="283" w:lineRule="auto"/>
        <w:tabs>
          <w:tab w:leader="none" w:pos="1182"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monies at any time received by it pursuant to any of the provisions of this Agreement or of the Warrant Certificates.</w:t>
      </w:r>
    </w:p>
    <w:p>
      <w:pPr>
        <w:spacing w:after="0" w:line="122" w:lineRule="exact"/>
        <w:rPr>
          <w:rFonts w:ascii="Times New Roman" w:cs="Times New Roman" w:eastAsia="Times New Roman" w:hAnsi="Times New Roman"/>
          <w:sz w:val="14"/>
          <w:szCs w:val="14"/>
          <w:b w:val="1"/>
          <w:bCs w:val="1"/>
          <w:color w:val="auto"/>
        </w:rPr>
      </w:pPr>
    </w:p>
    <w:p>
      <w:pPr>
        <w:ind w:left="240" w:right="459" w:firstLine="766"/>
        <w:spacing w:after="0" w:line="283" w:lineRule="auto"/>
        <w:tabs>
          <w:tab w:leader="none" w:pos="1205"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(except as to the Warrant Agent’s countersignature thereon).</w:t>
      </w:r>
    </w:p>
    <w:p>
      <w:pPr>
        <w:spacing w:after="0" w:line="122" w:lineRule="exact"/>
        <w:rPr>
          <w:rFonts w:ascii="Times New Roman" w:cs="Times New Roman" w:eastAsia="Times New Roman" w:hAnsi="Times New Roman"/>
          <w:sz w:val="14"/>
          <w:szCs w:val="14"/>
          <w:b w:val="1"/>
          <w:bCs w:val="1"/>
          <w:color w:val="auto"/>
        </w:rPr>
      </w:pPr>
    </w:p>
    <w:p>
      <w:pPr>
        <w:ind w:left="240" w:right="279" w:firstLine="766"/>
        <w:spacing w:after="0" w:line="283" w:lineRule="auto"/>
        <w:tabs>
          <w:tab w:leader="none" w:pos="1213"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Warrant Certificates (except as to the Warrant Agent’s countersignature thereon), all of which are made solely by the Company.</w:t>
      </w:r>
    </w:p>
    <w:p>
      <w:pPr>
        <w:spacing w:after="0" w:line="122" w:lineRule="exact"/>
        <w:rPr>
          <w:rFonts w:ascii="Times New Roman" w:cs="Times New Roman" w:eastAsia="Times New Roman" w:hAnsi="Times New Roman"/>
          <w:sz w:val="14"/>
          <w:szCs w:val="14"/>
          <w:b w:val="1"/>
          <w:bCs w:val="1"/>
          <w:color w:val="auto"/>
        </w:rPr>
      </w:pPr>
    </w:p>
    <w:p>
      <w:pPr>
        <w:ind w:left="240" w:right="259" w:firstLine="766"/>
        <w:spacing w:after="0" w:line="253" w:lineRule="auto"/>
        <w:tabs>
          <w:tab w:leader="none" w:pos="1174"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Implied Obligations. </w:t>
      </w:r>
      <w:r>
        <w:rPr>
          <w:rFonts w:ascii="Times New Roman" w:cs="Times New Roman" w:eastAsia="Times New Roman" w:hAnsi="Times New Roman"/>
          <w:sz w:val="14"/>
          <w:szCs w:val="14"/>
          <w:color w:val="auto"/>
        </w:rPr>
        <w:t>The Warrant Agent shall be obligated to perform only such duties as are herein and in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6" w:lineRule="exact"/>
        <w:rPr>
          <w:sz w:val="20"/>
          <w:szCs w:val="20"/>
          <w:color w:val="auto"/>
        </w:rPr>
      </w:pPr>
    </w:p>
    <w:p>
      <w:pPr>
        <w:ind w:left="240" w:right="639" w:firstLine="766"/>
        <w:spacing w:after="0" w:line="280" w:lineRule="auto"/>
        <w:tabs>
          <w:tab w:leader="none" w:pos="1205"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26" w:lineRule="exact"/>
        <w:rPr>
          <w:rFonts w:ascii="Times New Roman" w:cs="Times New Roman" w:eastAsia="Times New Roman" w:hAnsi="Times New Roman"/>
          <w:sz w:val="14"/>
          <w:szCs w:val="14"/>
          <w:b w:val="1"/>
          <w:bCs w:val="1"/>
          <w:color w:val="auto"/>
        </w:rPr>
      </w:pPr>
    </w:p>
    <w:p>
      <w:pPr>
        <w:ind w:left="240" w:right="279" w:firstLine="766"/>
        <w:spacing w:after="0" w:line="253" w:lineRule="auto"/>
        <w:tabs>
          <w:tab w:leader="none" w:pos="1213"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58" w:name="page159"/>
    <w:bookmarkEnd w:id="158"/>
    <w:p>
      <w:pPr>
        <w:ind w:left="240" w:right="359" w:firstLine="766"/>
        <w:spacing w:after="0" w:line="252" w:lineRule="auto"/>
        <w:tabs>
          <w:tab w:leader="none" w:pos="1197"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4" w:lineRule="exact"/>
        <w:rPr>
          <w:rFonts w:ascii="Times New Roman" w:cs="Times New Roman" w:eastAsia="Times New Roman" w:hAnsi="Times New Roman"/>
          <w:sz w:val="14"/>
          <w:szCs w:val="14"/>
          <w:b w:val="1"/>
          <w:bCs w:val="1"/>
          <w:color w:val="auto"/>
        </w:rPr>
      </w:pPr>
    </w:p>
    <w:p>
      <w:pPr>
        <w:ind w:left="240" w:right="279" w:firstLine="766"/>
        <w:spacing w:after="0" w:line="255" w:lineRule="auto"/>
        <w:tabs>
          <w:tab w:leader="none" w:pos="1213"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4" w:lineRule="exact"/>
        <w:rPr>
          <w:rFonts w:ascii="Times New Roman" w:cs="Times New Roman" w:eastAsia="Times New Roman" w:hAnsi="Times New Roman"/>
          <w:sz w:val="14"/>
          <w:szCs w:val="14"/>
          <w:b w:val="1"/>
          <w:bCs w:val="1"/>
          <w:color w:val="auto"/>
        </w:rPr>
      </w:pPr>
    </w:p>
    <w:p>
      <w:pPr>
        <w:ind w:left="240" w:right="279" w:firstLine="766"/>
        <w:spacing w:after="0" w:line="257" w:lineRule="auto"/>
        <w:tabs>
          <w:tab w:leader="none" w:pos="1197"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4" w:lineRule="exact"/>
        <w:rPr>
          <w:sz w:val="20"/>
          <w:szCs w:val="20"/>
          <w:color w:val="auto"/>
        </w:rPr>
      </w:pPr>
    </w:p>
    <w:p>
      <w:pPr>
        <w:jc w:val="both"/>
        <w:ind w:left="240" w:right="4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9" w:lineRule="exact"/>
        <w:rPr>
          <w:sz w:val="20"/>
          <w:szCs w:val="20"/>
          <w:color w:val="auto"/>
        </w:rPr>
      </w:pPr>
    </w:p>
    <w:p>
      <w:pPr>
        <w:ind w:left="240" w:right="4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the holder of a Warrant Certificate pursuant to the provisions of the Warrant Certificates, the Warrant Agent shall promptly forward such notice or demand to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59" w:name="page160"/>
    <w:bookmarkEnd w:id="159"/>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w:t>
      </w:r>
    </w:p>
    <w:p>
      <w:pPr>
        <w:spacing w:after="0" w:line="23" w:lineRule="exact"/>
        <w:rPr>
          <w:sz w:val="20"/>
          <w:szCs w:val="20"/>
          <w:color w:val="auto"/>
        </w:rPr>
      </w:pPr>
    </w:p>
    <w:p>
      <w:pPr>
        <w:ind w:left="240" w:right="279" w:hanging="2"/>
        <w:spacing w:after="0" w:line="254" w:lineRule="auto"/>
        <w:tabs>
          <w:tab w:leader="none" w:pos="416"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any communication from the Warrant Agent to the Company with respect to this Agreement shall be addressed to Annexon, Inc., 1400 Sierra Point Parkway, Bldg C, Suite 200, Brisbane, California 94005, Attention: [•] (or such other address as shall be specified in writing by the Warrant Agent or by the Company).</w:t>
      </w:r>
    </w:p>
    <w:p>
      <w:pPr>
        <w:spacing w:after="0" w:line="141" w:lineRule="exact"/>
        <w:rPr>
          <w:sz w:val="20"/>
          <w:szCs w:val="20"/>
          <w:color w:val="auto"/>
        </w:rPr>
      </w:pPr>
    </w:p>
    <w:p>
      <w:pPr>
        <w:ind w:left="240" w:right="43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of the State of New York.</w:t>
      </w:r>
    </w:p>
    <w:p>
      <w:pPr>
        <w:spacing w:after="0" w:line="122" w:lineRule="exact"/>
        <w:rPr>
          <w:sz w:val="20"/>
          <w:szCs w:val="20"/>
          <w:color w:val="auto"/>
        </w:rPr>
      </w:pPr>
    </w:p>
    <w:p>
      <w:pPr>
        <w:ind w:left="240" w:right="4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of 1933, as amended, relating to the Warrant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38" w:lineRule="exact"/>
        <w:rPr>
          <w:sz w:val="20"/>
          <w:szCs w:val="20"/>
          <w:color w:val="auto"/>
        </w:rPr>
      </w:pPr>
    </w:p>
    <w:p>
      <w:pPr>
        <w:ind w:left="240" w:right="299" w:firstLine="341"/>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6.6 Obtaining of Governmental Approvals. </w:t>
      </w:r>
      <w:r>
        <w:rPr>
          <w:rFonts w:ascii="Times New Roman" w:cs="Times New Roman" w:eastAsia="Times New Roman" w:hAnsi="Times New Roman"/>
          <w:sz w:val="13"/>
          <w:szCs w:val="13"/>
          <w:color w:val="auto"/>
        </w:rPr>
        <w:t>The Company will from time to time take all action which may be necessary to obtain and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25" w:lineRule="exact"/>
        <w:rPr>
          <w:sz w:val="20"/>
          <w:szCs w:val="20"/>
          <w:color w:val="auto"/>
        </w:rPr>
      </w:pPr>
    </w:p>
    <w:p>
      <w:pPr>
        <w:ind w:left="240" w:right="53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and the holders of the Warrant Certificates any right, remedy or claim under or by reason of this Agreement.</w:t>
      </w:r>
    </w:p>
    <w:p>
      <w:pPr>
        <w:spacing w:after="0" w:line="122" w:lineRule="exact"/>
        <w:rPr>
          <w:sz w:val="20"/>
          <w:szCs w:val="20"/>
          <w:color w:val="auto"/>
        </w:rPr>
      </w:pPr>
    </w:p>
    <w:p>
      <w:pPr>
        <w:ind w:left="240" w:right="51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or affect the meaning or construction of any of the provisions hereof.</w:t>
      </w:r>
    </w:p>
    <w:p>
      <w:pPr>
        <w:spacing w:after="0" w:line="122" w:lineRule="exact"/>
        <w:rPr>
          <w:sz w:val="20"/>
          <w:szCs w:val="20"/>
          <w:color w:val="auto"/>
        </w:rPr>
      </w:pPr>
    </w:p>
    <w:p>
      <w:pPr>
        <w:ind w:left="240" w:right="67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but such counterparts shall together constitute but one and the same instrument.</w:t>
      </w:r>
    </w:p>
    <w:p>
      <w:pPr>
        <w:spacing w:after="0" w:line="122" w:lineRule="exact"/>
        <w:rPr>
          <w:sz w:val="20"/>
          <w:szCs w:val="20"/>
          <w:color w:val="auto"/>
        </w:rPr>
      </w:pPr>
    </w:p>
    <w:p>
      <w:pPr>
        <w:jc w:val="both"/>
        <w:ind w:left="240" w:right="47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for inspection by the holder of any Warrant Certificate. The Warrant Agent may require such holder to submit such holder’s Warrant Certificate for inspection by it.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160" w:name="page161"/>
    <w:bookmarkEnd w:id="160"/>
    <w:p>
      <w:pPr>
        <w:ind w:left="5360" w:right="959" w:hanging="4781"/>
        <w:spacing w:after="0" w:line="51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Agreement to be duly executed as of the day and year first above written.</w:t>
      </w:r>
      <w:r>
        <w:rPr>
          <w:rFonts w:ascii="Times New Roman" w:cs="Times New Roman" w:eastAsia="Times New Roman" w:hAnsi="Times New Roman"/>
          <w:sz w:val="14"/>
          <w:szCs w:val="14"/>
          <w:b w:val="1"/>
          <w:bCs w:val="1"/>
          <w:color w:val="auto"/>
        </w:rPr>
        <w:t xml:space="preserve"> ANNEXON, INC</w:t>
      </w:r>
      <w:r>
        <w:rPr>
          <w:rFonts w:ascii="Times New Roman" w:cs="Times New Roman" w:eastAsia="Times New Roman" w:hAnsi="Times New Roman"/>
          <w:sz w:val="14"/>
          <w:szCs w:val="14"/>
          <w:color w:val="auto"/>
        </w:rPr>
        <w:t>., as Company</w:t>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13335</wp:posOffset>
            </wp:positionV>
            <wp:extent cx="179895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17145</wp:posOffset>
            </wp:positionV>
            <wp:extent cx="179895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-95250</wp:posOffset>
            </wp:positionV>
            <wp:extent cx="179895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127635</wp:posOffset>
            </wp:positionV>
            <wp:extent cx="179895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14605</wp:posOffset>
            </wp:positionV>
            <wp:extent cx="179895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3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OUNTERSIGNED</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13335</wp:posOffset>
            </wp:positionV>
            <wp:extent cx="179895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17145</wp:posOffset>
            </wp:positionV>
            <wp:extent cx="179895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-95250</wp:posOffset>
            </wp:positionV>
            <wp:extent cx="179895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127635</wp:posOffset>
            </wp:positionV>
            <wp:extent cx="179895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14605</wp:posOffset>
            </wp:positionV>
            <wp:extent cx="179895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3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NNEXON</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4"/>
          <w:szCs w:val="14"/>
          <w:color w:val="auto"/>
        </w:rPr>
        <w:t>. P</w:t>
      </w:r>
      <w:r>
        <w:rPr>
          <w:rFonts w:ascii="Times New Roman" w:cs="Times New Roman" w:eastAsia="Times New Roman" w:hAnsi="Times New Roman"/>
          <w:sz w:val="11"/>
          <w:szCs w:val="11"/>
          <w:color w:val="auto"/>
        </w:rPr>
        <w:t>REFERRED</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17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FORM OF WARRANT CERTIFICATE</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[FACE OF WARRANT CERTIFICATE]</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Form of Legend if Warrants are not immediately exercisable.</w:t>
            </w:r>
            <w:r>
              <w:rPr>
                <w:rFonts w:ascii="Times New Roman" w:cs="Times New Roman" w:eastAsia="Times New Roman" w:hAnsi="Times New Roman"/>
                <w:sz w:val="14"/>
                <w:szCs w:val="14"/>
                <w:color w:val="auto"/>
              </w:rPr>
              <w:t>]</w:t>
            </w:r>
          </w:p>
        </w:tc>
        <w:tc>
          <w:tcPr>
            <w:tcW w:w="432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8"/>
              </w:rPr>
              <w:t>[Prior to [•], Warrants evidenced by this Warrant Certificate cannot be</w:t>
            </w:r>
          </w:p>
        </w:tc>
        <w:tc>
          <w:tcPr>
            <w:tcW w:w="0" w:type="dxa"/>
            <w:vAlign w:val="bottom"/>
          </w:tcPr>
          <w:p>
            <w:pPr>
              <w:spacing w:after="0"/>
              <w:rPr>
                <w:sz w:val="1"/>
                <w:szCs w:val="1"/>
                <w:color w:val="auto"/>
              </w:rPr>
            </w:pPr>
          </w:p>
        </w:tc>
      </w:tr>
      <w:tr>
        <w:trPr>
          <w:trHeight w:val="182"/>
        </w:trPr>
        <w:tc>
          <w:tcPr>
            <w:tcW w:w="4020" w:type="dxa"/>
            <w:vAlign w:val="bottom"/>
            <w:vMerge w:val="continue"/>
          </w:tcPr>
          <w:p>
            <w:pPr>
              <w:spacing w:after="0"/>
              <w:rPr>
                <w:sz w:val="15"/>
                <w:szCs w:val="15"/>
                <w:color w:val="auto"/>
              </w:rPr>
            </w:pPr>
          </w:p>
        </w:tc>
        <w:tc>
          <w:tcPr>
            <w:tcW w:w="4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exercised.]</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EXERCISABLE ONLY IF COUNTERSIGNED BY THE WARRANT AGENT AS PROVIDED HEREIN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VOID AFTER [•] P.M., [City] time, ON [•].</w:t>
      </w:r>
    </w:p>
    <w:p>
      <w:pPr>
        <w:sectPr>
          <w:pgSz w:w="11900" w:h="16838" w:orient="portrait"/>
          <w:cols w:equalWidth="0" w:num="1">
            <w:col w:w="9019"/>
          </w:cols>
          <w:pgMar w:left="1440" w:top="238" w:right="144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ANNEXON,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WARRANT SECURITIES]</w:t>
      </w:r>
    </w:p>
    <w:p>
      <w:pPr>
        <w:spacing w:after="0" w:line="274" w:lineRule="exact"/>
        <w:rPr>
          <w:sz w:val="20"/>
          <w:szCs w:val="20"/>
          <w:color w:val="auto"/>
        </w:rPr>
      </w:pPr>
    </w:p>
    <w:p>
      <w:pPr>
        <w:ind w:left="240"/>
        <w:spacing w:after="0"/>
        <w:tabs>
          <w:tab w:leader="none" w:pos="808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4" w:lineRule="exact"/>
        <w:rPr>
          <w:sz w:val="20"/>
          <w:szCs w:val="20"/>
          <w:color w:val="auto"/>
        </w:rPr>
      </w:pPr>
    </w:p>
    <w:p>
      <w:pPr>
        <w:ind w:left="240" w:right="319"/>
        <w:spacing w:after="0" w:line="252"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Annexon,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6" w:lineRule="exact"/>
        <w:rPr>
          <w:sz w:val="20"/>
          <w:szCs w:val="20"/>
          <w:color w:val="auto"/>
        </w:rPr>
      </w:pPr>
    </w:p>
    <w:p>
      <w:pPr>
        <w:ind w:left="240" w:right="559"/>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4" w:lineRule="exact"/>
        <w:rPr>
          <w:sz w:val="20"/>
          <w:szCs w:val="20"/>
          <w:color w:val="auto"/>
        </w:rPr>
      </w:pPr>
    </w:p>
    <w:p>
      <w:pPr>
        <w:ind w:left="240" w:right="439"/>
        <w:spacing w:after="0" w:line="265"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34"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41" w:lineRule="exact"/>
        <w:rPr>
          <w:sz w:val="20"/>
          <w:szCs w:val="20"/>
          <w:color w:val="auto"/>
        </w:rPr>
      </w:pPr>
    </w:p>
    <w:p>
      <w:pPr>
        <w:ind w:left="240" w:right="379"/>
        <w:spacing w:after="0" w:line="280"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6" w:lineRule="exact"/>
        <w:rPr>
          <w:sz w:val="20"/>
          <w:szCs w:val="20"/>
          <w:color w:val="auto"/>
        </w:rPr>
      </w:pPr>
    </w:p>
    <w:p>
      <w:pPr>
        <w:ind w:left="240" w:right="519"/>
        <w:spacing w:after="0" w:line="321" w:lineRule="auto"/>
        <w:rPr>
          <w:sz w:val="20"/>
          <w:szCs w:val="20"/>
          <w:color w:val="auto"/>
        </w:rPr>
      </w:pPr>
      <w:r>
        <w:rPr>
          <w:rFonts w:ascii="Times New Roman" w:cs="Times New Roman" w:eastAsia="Times New Roman" w:hAnsi="Times New Roman"/>
          <w:sz w:val="13"/>
          <w:szCs w:val="13"/>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02" w:lineRule="exact"/>
        <w:rPr>
          <w:sz w:val="20"/>
          <w:szCs w:val="20"/>
          <w:color w:val="auto"/>
        </w:rPr>
      </w:pPr>
    </w:p>
    <w:p>
      <w:pPr>
        <w:jc w:val="both"/>
        <w:ind w:left="240" w:right="419"/>
        <w:spacing w:after="0" w:line="265"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9019"/>
          </w:cols>
          <w:pgMar w:left="1440" w:top="238" w:right="1440" w:bottom="1440" w:gutter="0" w:footer="0" w:header="0"/>
        </w:sectPr>
      </w:pPr>
    </w:p>
    <w:bookmarkStart w:id="163" w:name="page164"/>
    <w:bookmarkEnd w:id="163"/>
    <w:p>
      <w:pPr>
        <w:ind w:left="240" w:right="659"/>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2" w:lineRule="exact"/>
        <w:rPr>
          <w:sz w:val="20"/>
          <w:szCs w:val="20"/>
          <w:color w:val="auto"/>
        </w:rPr>
      </w:pPr>
    </w:p>
    <w:p>
      <w:pPr>
        <w:ind w:left="240" w:right="659"/>
        <w:spacing w:after="0" w:line="283"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officers.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-5715</wp:posOffset>
            </wp:positionV>
            <wp:extent cx="26543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265430" cy="6350"/>
                    </a:xfrm>
                    <a:prstGeom prst="rect">
                      <a:avLst/>
                    </a:prstGeom>
                    <a:noFill/>
                  </pic:spPr>
                </pic:pic>
              </a:graphicData>
            </a:graphic>
          </wp:anchor>
        </w:drawing>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ANNEXON, INC.</w:t>
      </w:r>
      <w:r>
        <w:rPr>
          <w:rFonts w:ascii="Times New Roman" w:cs="Times New Roman" w:eastAsia="Times New Roman" w:hAnsi="Times New Roman"/>
          <w:sz w:val="14"/>
          <w:szCs w:val="14"/>
          <w:color w:val="auto"/>
        </w:rPr>
        <w:t>, as Company</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17145</wp:posOffset>
            </wp:positionV>
            <wp:extent cx="171259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-95250</wp:posOffset>
            </wp:positionV>
            <wp:extent cx="171259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127635</wp:posOffset>
            </wp:positionV>
            <wp:extent cx="171259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14605</wp:posOffset>
            </wp:positionV>
            <wp:extent cx="171259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17145</wp:posOffset>
            </wp:positionV>
            <wp:extent cx="171259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-95250</wp:posOffset>
            </wp:positionV>
            <wp:extent cx="171259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127635</wp:posOffset>
            </wp:positionV>
            <wp:extent cx="171259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14605</wp:posOffset>
            </wp:positionV>
            <wp:extent cx="171259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[REVERSE OF WARRANT CERTIFICATE]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76"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undersigned hereby irrevocably elects to exercise ______ Warrants, evidenced by this Warrant Certificate, to purchase _______ shares of the</w:t>
      </w:r>
    </w:p>
    <w:p>
      <w:pPr>
        <w:spacing w:after="0" w:line="21" w:lineRule="exact"/>
        <w:rPr>
          <w:sz w:val="20"/>
          <w:szCs w:val="20"/>
          <w:color w:val="auto"/>
        </w:rPr>
      </w:pPr>
    </w:p>
    <w:p>
      <w:pPr>
        <w:ind w:left="240" w:right="279"/>
        <w:spacing w:after="0" w:line="268" w:lineRule="auto"/>
        <w:rPr>
          <w:sz w:val="20"/>
          <w:szCs w:val="20"/>
          <w:color w:val="auto"/>
        </w:rPr>
      </w:pPr>
      <w:r>
        <w:rPr>
          <w:rFonts w:ascii="Times New Roman" w:cs="Times New Roman" w:eastAsia="Times New Roman" w:hAnsi="Times New Roman"/>
          <w:sz w:val="13"/>
          <w:szCs w:val="13"/>
          <w:color w:val="auto"/>
        </w:rPr>
        <w:t>[TITLE OF WARRANT SECURITIES], par value $0.001 per share (the “</w:t>
      </w:r>
      <w:r>
        <w:rPr>
          <w:rFonts w:ascii="Times New Roman" w:cs="Times New Roman" w:eastAsia="Times New Roman" w:hAnsi="Times New Roman"/>
          <w:sz w:val="13"/>
          <w:szCs w:val="13"/>
          <w:b w:val="1"/>
          <w:bCs w:val="1"/>
          <w:i w:val="1"/>
          <w:iCs w:val="1"/>
          <w:color w:val="auto"/>
        </w:rPr>
        <w:t>Warrant Securities</w:t>
      </w:r>
      <w:r>
        <w:rPr>
          <w:rFonts w:ascii="Times New Roman" w:cs="Times New Roman" w:eastAsia="Times New Roman" w:hAnsi="Times New Roman"/>
          <w:sz w:val="13"/>
          <w:szCs w:val="13"/>
          <w:color w:val="auto"/>
        </w:rPr>
        <w:t>”), of Annexon,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Annexon, Inc., c/o [insert name and address of Warrant Agent], in the amount of $_________ in accordance with the terms hereof. The undersigned requests that said Warrant Securities be in fully</w:t>
      </w:r>
    </w:p>
    <w:p>
      <w:pPr>
        <w:spacing w:after="0" w:line="1" w:lineRule="exact"/>
        <w:rPr>
          <w:sz w:val="20"/>
          <w:szCs w:val="20"/>
          <w:color w:val="auto"/>
        </w:rPr>
      </w:pPr>
    </w:p>
    <w:p>
      <w:pPr>
        <w:ind w:left="240" w:right="539"/>
        <w:spacing w:after="0" w:line="258" w:lineRule="auto"/>
        <w:rPr>
          <w:sz w:val="20"/>
          <w:szCs w:val="20"/>
          <w:color w:val="auto"/>
        </w:rPr>
      </w:pPr>
      <w:r>
        <w:rPr>
          <w:rFonts w:ascii="Times New Roman" w:cs="Times New Roman" w:eastAsia="Times New Roman" w:hAnsi="Times New Roman"/>
          <w:sz w:val="14"/>
          <w:szCs w:val="14"/>
          <w:color w:val="auto"/>
        </w:rPr>
        <w:t>registered form in the authorized denominations, registered in such names and delivered all as specified in accordance with the instructions set forth below.</w:t>
      </w:r>
    </w:p>
    <w:p>
      <w:pPr>
        <w:spacing w:after="0" w:line="141"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Dated:                                                </w:t>
            </w:r>
          </w:p>
        </w:tc>
        <w:tc>
          <w:tcPr>
            <w:tcW w:w="542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xml:space="preserve">Name:                                                                     </w:t>
            </w:r>
          </w:p>
        </w:tc>
      </w:tr>
      <w:tr>
        <w:trPr>
          <w:trHeight w:val="179"/>
        </w:trPr>
        <w:tc>
          <w:tcPr>
            <w:tcW w:w="44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320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Please Print</w:t>
            </w:r>
          </w:p>
        </w:tc>
      </w:tr>
      <w:tr>
        <w:trPr>
          <w:trHeight w:val="335"/>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Address:</w:t>
            </w:r>
          </w:p>
        </w:tc>
        <w:tc>
          <w:tcPr>
            <w:tcW w:w="2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3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-99060</wp:posOffset>
            </wp:positionV>
            <wp:extent cx="276860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2768600" cy="6350"/>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Signature Guaranteed: 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-5715</wp:posOffset>
            </wp:positionV>
            <wp:extent cx="106172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w:t>
      </w:r>
    </w:p>
    <w:p>
      <w:pPr>
        <w:spacing w:after="0" w:line="159" w:lineRule="exact"/>
        <w:rPr>
          <w:sz w:val="20"/>
          <w:szCs w:val="20"/>
          <w:color w:val="auto"/>
        </w:rPr>
      </w:pPr>
    </w:p>
    <w:p>
      <w:pPr>
        <w:ind w:left="240" w:right="439"/>
        <w:spacing w:after="0" w:line="280" w:lineRule="auto"/>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165" w:name="page166"/>
    <w:bookmarkEnd w:id="165"/>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mail at:</w:t>
      </w:r>
    </w:p>
    <w:p>
      <w:pPr>
        <w:spacing w:after="0" w:line="90" w:lineRule="exact"/>
        <w:rPr>
          <w:sz w:val="20"/>
          <w:szCs w:val="20"/>
          <w:color w:val="auto"/>
        </w:rPr>
      </w:pPr>
    </w:p>
    <w:p>
      <w:pPr>
        <w:ind w:left="240" w:right="679"/>
        <w:spacing w:after="0" w:line="280" w:lineRule="auto"/>
        <w:rPr>
          <w:sz w:val="20"/>
          <w:szCs w:val="20"/>
          <w:color w:val="auto"/>
        </w:rPr>
      </w:pPr>
      <w:r>
        <w:rPr>
          <w:rFonts w:ascii="Times New Roman" w:cs="Times New Roman" w:eastAsia="Times New Roman" w:hAnsi="Times New Roman"/>
          <w:sz w:val="14"/>
          <w:szCs w:val="14"/>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9019"/>
          </w:cols>
          <w:pgMar w:left="1440" w:top="240" w:right="1440"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ASSIGNMENT</w:t>
      </w:r>
    </w:p>
    <w:p>
      <w:pPr>
        <w:spacing w:after="0" w:line="17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p>
      <w:pPr>
        <w:spacing w:after="0" w:line="374" w:lineRule="exact"/>
        <w:rPr>
          <w:sz w:val="20"/>
          <w:szCs w:val="20"/>
          <w:color w:val="auto"/>
        </w:rPr>
      </w:pPr>
    </w:p>
    <w:p>
      <w:pPr>
        <w:ind w:left="240"/>
        <w:spacing w:after="0"/>
        <w:tabs>
          <w:tab w:leader="none" w:pos="4920" w:val="left"/>
        </w:tabs>
        <w:rPr>
          <w:sz w:val="20"/>
          <w:szCs w:val="20"/>
          <w:color w:val="auto"/>
        </w:rPr>
      </w:pPr>
      <w:r>
        <w:rPr>
          <w:rFonts w:ascii="Times New Roman" w:cs="Times New Roman" w:eastAsia="Times New Roman" w:hAnsi="Times New Roman"/>
          <w:sz w:val="14"/>
          <w:szCs w:val="14"/>
          <w:color w:val="auto"/>
        </w:rPr>
        <w:t>(Please print name and address including zip code)</w:t>
      </w:r>
      <w:r>
        <w:rPr>
          <w:sz w:val="20"/>
          <w:szCs w:val="20"/>
          <w:color w:val="auto"/>
        </w:rPr>
        <w:tab/>
      </w:r>
      <w:r>
        <w:rPr>
          <w:rFonts w:ascii="Times New Roman" w:cs="Times New Roman" w:eastAsia="Times New Roman" w:hAnsi="Times New Roman"/>
          <w:sz w:val="13"/>
          <w:szCs w:val="13"/>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-99060</wp:posOffset>
            </wp:positionV>
            <wp:extent cx="541718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right represented by the within Warrant to purchase __________ shares of [Title of Warrant Securities] of Annexon, Inc. to which the within Warrant</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relates and appoints ____________________ attorney to transfer such right on the books of the Warrant Agent with full power of substitution in the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premises.</w:t>
      </w:r>
    </w:p>
    <w:p>
      <w:pPr>
        <w:spacing w:after="0" w:line="180" w:lineRule="exact"/>
        <w:rPr>
          <w:sz w:val="20"/>
          <w:szCs w:val="20"/>
          <w:color w:val="auto"/>
        </w:rPr>
      </w:pPr>
    </w:p>
    <w:p>
      <w:pPr>
        <w:ind w:left="240"/>
        <w:spacing w:after="0"/>
        <w:tabs>
          <w:tab w:leader="none" w:pos="4420" w:val="left"/>
        </w:tabs>
        <w:rPr>
          <w:sz w:val="20"/>
          <w:szCs w:val="20"/>
          <w:color w:val="auto"/>
        </w:rPr>
      </w:pPr>
      <w:r>
        <w:rPr>
          <w:rFonts w:ascii="Times New Roman" w:cs="Times New Roman" w:eastAsia="Times New Roman" w:hAnsi="Times New Roman"/>
          <w:sz w:val="14"/>
          <w:szCs w:val="14"/>
          <w:color w:val="auto"/>
        </w:rPr>
        <w:t xml:space="preserve">Dated:                                       </w:t>
      </w:r>
      <w:r>
        <w:rPr>
          <w:sz w:val="20"/>
          <w:szCs w:val="20"/>
          <w:color w:val="auto"/>
        </w:rPr>
        <w:tab/>
      </w: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13335</wp:posOffset>
            </wp:positionV>
            <wp:extent cx="248983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2489835" cy="635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-5715</wp:posOffset>
            </wp:positionV>
            <wp:extent cx="115062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1150620" cy="635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Signature</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226060</wp:posOffset>
            </wp:positionV>
            <wp:extent cx="216408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2164080" cy="635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167" w:name="page168"/>
    <w:bookmarkEnd w:id="167"/>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4.7</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ANNEXON, INC.</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__________</w:t>
      </w:r>
    </w:p>
    <w:p>
      <w:pPr>
        <w:sectPr>
          <w:pgSz w:w="11900" w:h="16838" w:orient="portrait"/>
          <w:cols w:equalWidth="0" w:num="1">
            <w:col w:w="9019"/>
          </w:cols>
          <w:pgMar w:left="1440" w:top="123"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ANNEXON, INC.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4" w:lineRule="exact"/>
        <w:rPr>
          <w:sz w:val="20"/>
          <w:szCs w:val="20"/>
          <w:color w:val="auto"/>
        </w:rPr>
      </w:pPr>
    </w:p>
    <w:p>
      <w:pPr>
        <w:ind w:left="240" w:right="35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 ANNEXON, INC., a Delaware corporation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40" w:right="3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has entered into an indenture dated as of [•]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with [•], as trustee (such trustee, and any successors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trustee, herein called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w:t>
      </w:r>
      <w:r>
        <w:rPr>
          <w:rFonts w:ascii="Times New Roman" w:cs="Times New Roman" w:eastAsia="Times New Roman" w:hAnsi="Times New Roman"/>
          <w:sz w:val="14"/>
          <w:szCs w:val="14"/>
          <w:b w:val="1"/>
          <w:bCs w:val="1"/>
          <w:i w:val="1"/>
          <w:iCs w:val="1"/>
          <w:color w:val="auto"/>
        </w:rPr>
        <w:t>If Warrants are sold with other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[title of such other securities being offered] (the “</w:t>
      </w:r>
      <w:r>
        <w:rPr>
          <w:rFonts w:ascii="Times New Roman" w:cs="Times New Roman" w:eastAsia="Times New Roman" w:hAnsi="Times New Roman"/>
          <w:sz w:val="14"/>
          <w:szCs w:val="14"/>
          <w:b w:val="1"/>
          <w:bCs w:val="1"/>
          <w:i w:val="1"/>
          <w:iCs w:val="1"/>
          <w:color w:val="auto"/>
        </w:rPr>
        <w:t>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with] warrant certificates 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[title of Debt Securities purchasable through exercise of Warrants] (the “</w:t>
      </w:r>
      <w:r>
        <w:rPr>
          <w:rFonts w:ascii="Times New Roman" w:cs="Times New Roman" w:eastAsia="Times New Roman" w:hAnsi="Times New Roman"/>
          <w:sz w:val="14"/>
          <w:szCs w:val="14"/>
          <w:b w:val="1"/>
          <w:bCs w:val="1"/>
          <w:i w:val="1"/>
          <w:iCs w:val="1"/>
          <w:color w:val="auto"/>
        </w:rPr>
        <w:t>Warrant Debt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9" w:lineRule="exact"/>
        <w:rPr>
          <w:sz w:val="20"/>
          <w:szCs w:val="20"/>
          <w:color w:val="auto"/>
        </w:rPr>
      </w:pPr>
    </w:p>
    <w:p>
      <w:pPr>
        <w:ind w:left="240" w:right="49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3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57" w:lineRule="exact"/>
        <w:rPr>
          <w:sz w:val="20"/>
          <w:szCs w:val="20"/>
          <w:color w:val="auto"/>
        </w:rPr>
      </w:pPr>
    </w:p>
    <w:p>
      <w:pPr>
        <w:ind w:left="240" w:right="339" w:firstLine="34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1.1 Issuance of Warrants.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If Warrants alone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Upon issuance, each Warrant Certificate shall evidence one or more Warrants.] [</w:t>
      </w:r>
      <w:r>
        <w:rPr>
          <w:rFonts w:ascii="Times New Roman" w:cs="Times New Roman" w:eastAsia="Times New Roman" w:hAnsi="Times New Roman"/>
          <w:sz w:val="14"/>
          <w:szCs w:val="14"/>
          <w:b w:val="1"/>
          <w:bCs w:val="1"/>
          <w:i w:val="1"/>
          <w:iCs w:val="1"/>
          <w:color w:val="auto"/>
        </w:rPr>
        <w:t>If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 xml:space="preserve">Securities and Warrants </w:t>
      </w:r>
      <w:r>
        <w:rPr>
          <w:rFonts w:ascii="Times New Roman" w:cs="Times New Roman" w:eastAsia="Times New Roman" w:hAnsi="Times New Roman"/>
          <w:sz w:val="14"/>
          <w:szCs w:val="14"/>
          <w:color w:val="auto"/>
        </w:rPr>
        <w:t>— Warrant Certificates will be issued in connection with the issuance of the Other Securities but shall be separately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transferable and each Warrant 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color w:val="auto"/>
        </w:rPr>
        <w:t xml:space="preserve"> — Warrant Certificates will be issued with the Other Securities and each Warrant Certificate will evidence [•] Warrants for each [$[•] principal amount] [[•] shares] of Other Securities issued.]</w:t>
      </w:r>
    </w:p>
    <w:p>
      <w:pPr>
        <w:spacing w:after="0" w:line="141"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form set forth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169" w:name="page170"/>
    <w:bookmarkEnd w:id="169"/>
    <w:p>
      <w:pPr>
        <w:ind w:left="240" w:right="3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1" w:lineRule="exact"/>
        <w:rPr>
          <w:sz w:val="20"/>
          <w:szCs w:val="20"/>
          <w:color w:val="auto"/>
        </w:rPr>
      </w:pPr>
    </w:p>
    <w:p>
      <w:pPr>
        <w:jc w:val="both"/>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3"/>
          <w:szCs w:val="13"/>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27" w:lineRule="exact"/>
        <w:rPr>
          <w:sz w:val="20"/>
          <w:szCs w:val="20"/>
          <w:color w:val="auto"/>
        </w:rPr>
      </w:pPr>
    </w:p>
    <w:p>
      <w:pPr>
        <w:ind w:left="240" w:right="379" w:firstLine="341"/>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2" w:lineRule="exact"/>
        <w:rPr>
          <w:sz w:val="20"/>
          <w:szCs w:val="20"/>
          <w:color w:val="auto"/>
        </w:rPr>
      </w:pPr>
    </w:p>
    <w:p>
      <w:pPr>
        <w:ind w:left="240" w:right="55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Debt Securities may be executed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4"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4"/>
          <w:szCs w:val="14"/>
          <w:b w:val="1"/>
          <w:bCs w:val="1"/>
          <w:i w:val="1"/>
          <w:iCs w:val="1"/>
          <w:color w:val="auto"/>
        </w:rPr>
        <w:t>Warrant Price.</w:t>
      </w:r>
    </w:p>
    <w:p>
      <w:pPr>
        <w:spacing w:after="0" w:line="141" w:lineRule="exact"/>
        <w:rPr>
          <w:sz w:val="20"/>
          <w:szCs w:val="20"/>
          <w:color w:val="auto"/>
        </w:rPr>
      </w:pPr>
    </w:p>
    <w:p>
      <w:pPr>
        <w:ind w:left="240" w:right="33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70" w:name="page171"/>
    <w:bookmarkEnd w:id="170"/>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2.3 Exercise of Warrants.</w:t>
      </w:r>
    </w:p>
    <w:p>
      <w:pPr>
        <w:spacing w:after="0" w:line="176" w:lineRule="exact"/>
        <w:rPr>
          <w:sz w:val="20"/>
          <w:szCs w:val="20"/>
          <w:color w:val="auto"/>
        </w:rPr>
      </w:pPr>
    </w:p>
    <w:p>
      <w:pPr>
        <w:ind w:left="240" w:right="279" w:firstLine="766"/>
        <w:spacing w:after="0" w:line="251" w:lineRule="auto"/>
        <w:tabs>
          <w:tab w:leader="none" w:pos="1205"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7" w:lineRule="exact"/>
        <w:rPr>
          <w:rFonts w:ascii="Times New Roman" w:cs="Times New Roman" w:eastAsia="Times New Roman" w:hAnsi="Times New Roman"/>
          <w:sz w:val="14"/>
          <w:szCs w:val="14"/>
          <w:b w:val="1"/>
          <w:bCs w:val="1"/>
          <w:color w:val="auto"/>
        </w:rPr>
      </w:pPr>
    </w:p>
    <w:p>
      <w:pPr>
        <w:ind w:left="240" w:right="299" w:firstLine="766"/>
        <w:spacing w:after="0" w:line="257" w:lineRule="auto"/>
        <w:tabs>
          <w:tab w:leader="none" w:pos="1213"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41" w:lineRule="exact"/>
        <w:rPr>
          <w:rFonts w:ascii="Times New Roman" w:cs="Times New Roman" w:eastAsia="Times New Roman" w:hAnsi="Times New Roman"/>
          <w:sz w:val="14"/>
          <w:szCs w:val="14"/>
          <w:b w:val="1"/>
          <w:bCs w:val="1"/>
          <w:color w:val="auto"/>
        </w:rPr>
      </w:pPr>
    </w:p>
    <w:p>
      <w:pPr>
        <w:ind w:left="240" w:right="259" w:firstLine="766"/>
        <w:spacing w:after="0" w:line="257" w:lineRule="auto"/>
        <w:tabs>
          <w:tab w:leader="none" w:pos="1197"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171" w:name="page172"/>
    <w:bookmarkEnd w:id="171"/>
    <w:p>
      <w:pPr>
        <w:jc w:val="both"/>
        <w:ind w:left="240" w:right="339" w:firstLine="766"/>
        <w:spacing w:after="0" w:line="259" w:lineRule="auto"/>
        <w:tabs>
          <w:tab w:leader="none" w:pos="1213"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41" w:lineRule="exact"/>
        <w:rPr>
          <w:rFonts w:ascii="Times New Roman" w:cs="Times New Roman" w:eastAsia="Times New Roman" w:hAnsi="Times New Roman"/>
          <w:sz w:val="14"/>
          <w:szCs w:val="14"/>
          <w:b w:val="1"/>
          <w:bCs w:val="1"/>
          <w:color w:val="auto"/>
        </w:rPr>
      </w:pPr>
    </w:p>
    <w:p>
      <w:pPr>
        <w:ind w:left="240" w:right="459" w:firstLine="766"/>
        <w:spacing w:after="0" w:line="321" w:lineRule="auto"/>
        <w:tabs>
          <w:tab w:leader="none" w:pos="1197" w:val="left"/>
        </w:tabs>
        <w:numPr>
          <w:ilvl w:val="0"/>
          <w:numId w:val="1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9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57" w:lineRule="exact"/>
        <w:rPr>
          <w:sz w:val="20"/>
          <w:szCs w:val="20"/>
          <w:color w:val="auto"/>
        </w:rPr>
      </w:pPr>
    </w:p>
    <w:p>
      <w:pPr>
        <w:ind w:left="240" w:right="45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3.1 No Rights as Holder of Warrant Debt Securities Conferred by Warrants or Warrant Certificates. </w:t>
      </w:r>
      <w:r>
        <w:rPr>
          <w:rFonts w:ascii="Times New Roman" w:cs="Times New Roman" w:eastAsia="Times New Roman" w:hAnsi="Times New Roman"/>
          <w:sz w:val="14"/>
          <w:szCs w:val="14"/>
          <w:color w:val="auto"/>
        </w:rPr>
        <w:t>No Warrant Certificate or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39"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3.2 Lost, Stolen, Mutilated or Destroyed Warrant Certificates. </w:t>
      </w:r>
      <w:r>
        <w:rPr>
          <w:rFonts w:ascii="Times New Roman" w:cs="Times New Roman" w:eastAsia="Times New Roman" w:hAnsi="Times New Roman"/>
          <w:sz w:val="14"/>
          <w:szCs w:val="14"/>
          <w:color w:val="auto"/>
        </w:rPr>
        <w:t>Upon receipt by the Warrant Agent of evidence reasonably satisfactory to it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3" w:lineRule="exact"/>
        <w:rPr>
          <w:sz w:val="20"/>
          <w:szCs w:val="20"/>
          <w:color w:val="auto"/>
        </w:rPr>
      </w:pPr>
    </w:p>
    <w:p>
      <w:pPr>
        <w:ind w:left="240" w:right="39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38" w:lineRule="exact"/>
        <w:rPr>
          <w:sz w:val="20"/>
          <w:szCs w:val="20"/>
          <w:color w:val="auto"/>
        </w:rPr>
      </w:pPr>
    </w:p>
    <w:p>
      <w:pPr>
        <w:jc w:val="both"/>
        <w:ind w:left="240" w:right="4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3.4 Merger, Sale, Conveyance or Lease. </w:t>
      </w:r>
      <w:r>
        <w:rPr>
          <w:rFonts w:ascii="Times New Roman" w:cs="Times New Roman" w:eastAsia="Times New Roman" w:hAnsi="Times New Roman"/>
          <w:sz w:val="14"/>
          <w:szCs w:val="14"/>
          <w:color w:val="auto"/>
        </w:rPr>
        <w:t>In case of (a) any share exchange, merger or similar transaction of the Company with or into another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72" w:name="page173"/>
    <w:bookmarkEnd w:id="172"/>
    <w:p>
      <w:pPr>
        <w:ind w:left="240" w:right="3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6"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Reorganization Event or (b) make any distribution on or in respect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4"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173" w:name="page174"/>
    <w:bookmarkEnd w:id="173"/>
    <w:p>
      <w:pPr>
        <w:ind w:left="240" w:right="3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39" w:lineRule="exact"/>
        <w:rPr>
          <w:sz w:val="20"/>
          <w:szCs w:val="20"/>
          <w:color w:val="auto"/>
        </w:rPr>
      </w:pPr>
    </w:p>
    <w:p>
      <w:pPr>
        <w:ind w:left="240" w:right="29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as the absolute owner thereof for any purpose and as the person entitled to exercise the rights represented by the Warrants evidenced thereby, any notice to the contrary notwithstanding.</w:t>
      </w:r>
    </w:p>
    <w:p>
      <w:pPr>
        <w:spacing w:after="0" w:line="134" w:lineRule="exact"/>
        <w:rPr>
          <w:sz w:val="20"/>
          <w:szCs w:val="20"/>
          <w:color w:val="auto"/>
        </w:rPr>
      </w:pPr>
    </w:p>
    <w:p>
      <w:pPr>
        <w:ind w:left="240" w:right="27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4"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8" w:lineRule="exact"/>
        <w:rPr>
          <w:sz w:val="20"/>
          <w:szCs w:val="20"/>
          <w:color w:val="auto"/>
        </w:rPr>
      </w:pPr>
    </w:p>
    <w:p>
      <w:pPr>
        <w:jc w:val="both"/>
        <w:ind w:left="240" w:right="63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including the following to all of which the Company agrees and to all of which the rights hereunder of the holders from time to time of the Warrant Certificates shall be subject:</w:t>
      </w:r>
    </w:p>
    <w:p>
      <w:pPr>
        <w:spacing w:after="0" w:line="50" w:lineRule="exact"/>
        <w:rPr>
          <w:sz w:val="20"/>
          <w:szCs w:val="20"/>
          <w:color w:val="auto"/>
        </w:rPr>
      </w:pPr>
    </w:p>
    <w:p>
      <w:pPr>
        <w:ind w:left="240" w:right="339" w:firstLine="766"/>
        <w:spacing w:after="0" w:line="256" w:lineRule="auto"/>
        <w:tabs>
          <w:tab w:leader="none" w:pos="1205" w:val="left"/>
        </w:tabs>
        <w:numPr>
          <w:ilvl w:val="0"/>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Compensation and Indemnification. </w:t>
      </w:r>
      <w:r>
        <w:rPr>
          <w:rFonts w:ascii="Times New Roman" w:cs="Times New Roman" w:eastAsia="Times New Roman" w:hAnsi="Times New Roman"/>
          <w:sz w:val="14"/>
          <w:szCs w:val="14"/>
          <w:color w:val="auto"/>
        </w:rPr>
        <w:t>The Company agrees promptly to pay the Warrant Agent the compensation to be agreed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0" w:lineRule="exact"/>
        <w:rPr>
          <w:rFonts w:ascii="Times New Roman" w:cs="Times New Roman" w:eastAsia="Times New Roman" w:hAnsi="Times New Roman"/>
          <w:sz w:val="14"/>
          <w:szCs w:val="14"/>
          <w:b w:val="1"/>
          <w:bCs w:val="1"/>
          <w:color w:val="auto"/>
        </w:rPr>
      </w:pPr>
    </w:p>
    <w:p>
      <w:pPr>
        <w:ind w:left="240" w:right="339" w:firstLine="766"/>
        <w:spacing w:after="0" w:line="266" w:lineRule="auto"/>
        <w:tabs>
          <w:tab w:leader="none" w:pos="1213" w:val="left"/>
        </w:tabs>
        <w:numPr>
          <w:ilvl w:val="0"/>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solely as agent of the Company and does not assume any obligations or relationship of agency or trust for or with any of the holders of Warrant Certificates or beneficial owners of Warrants.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74" w:name="page175"/>
    <w:bookmarkEnd w:id="174"/>
    <w:p>
      <w:pPr>
        <w:ind w:left="240" w:right="299" w:firstLine="766"/>
        <w:spacing w:after="0" w:line="266" w:lineRule="auto"/>
        <w:tabs>
          <w:tab w:leader="none" w:pos="1197"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advice of such counsel shall be full and complete authorization and protection in respect of any action taken, suffered or omitted by it hereunder in good faith and in accordance with the advice of such counsel.</w:t>
      </w:r>
    </w:p>
    <w:p>
      <w:pPr>
        <w:spacing w:after="0" w:line="133" w:lineRule="exact"/>
        <w:rPr>
          <w:rFonts w:ascii="Times New Roman" w:cs="Times New Roman" w:eastAsia="Times New Roman" w:hAnsi="Times New Roman"/>
          <w:sz w:val="14"/>
          <w:szCs w:val="14"/>
          <w:b w:val="1"/>
          <w:bCs w:val="1"/>
          <w:color w:val="auto"/>
        </w:rPr>
      </w:pPr>
    </w:p>
    <w:p>
      <w:pPr>
        <w:ind w:left="240" w:right="319" w:firstLine="766"/>
        <w:spacing w:after="0" w:line="266" w:lineRule="auto"/>
        <w:tabs>
          <w:tab w:leader="none" w:pos="1213"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3" w:lineRule="exact"/>
        <w:rPr>
          <w:rFonts w:ascii="Times New Roman" w:cs="Times New Roman" w:eastAsia="Times New Roman" w:hAnsi="Times New Roman"/>
          <w:sz w:val="14"/>
          <w:szCs w:val="14"/>
          <w:b w:val="1"/>
          <w:bCs w:val="1"/>
          <w:color w:val="auto"/>
        </w:rPr>
      </w:pPr>
    </w:p>
    <w:p>
      <w:pPr>
        <w:jc w:val="both"/>
        <w:ind w:left="240" w:right="279" w:firstLine="766"/>
        <w:spacing w:after="0" w:line="256" w:lineRule="auto"/>
        <w:tabs>
          <w:tab w:leader="none" w:pos="1197"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Certain Transactions. </w:t>
      </w:r>
      <w:r>
        <w:rPr>
          <w:rFonts w:ascii="Times New Roman" w:cs="Times New Roman" w:eastAsia="Times New Roman" w:hAnsi="Times New Roman"/>
          <w:sz w:val="14"/>
          <w:szCs w:val="14"/>
          <w:color w:val="auto"/>
        </w:rPr>
        <w:t>The Warrant Agent, and its officers, directors and employees, may become the owner of, or acquire any interest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40" w:lineRule="exact"/>
        <w:rPr>
          <w:rFonts w:ascii="Times New Roman" w:cs="Times New Roman" w:eastAsia="Times New Roman" w:hAnsi="Times New Roman"/>
          <w:sz w:val="14"/>
          <w:szCs w:val="14"/>
          <w:b w:val="1"/>
          <w:bCs w:val="1"/>
          <w:color w:val="auto"/>
        </w:rPr>
      </w:pPr>
    </w:p>
    <w:p>
      <w:pPr>
        <w:ind w:left="240" w:right="539" w:firstLine="766"/>
        <w:spacing w:after="0" w:line="283" w:lineRule="auto"/>
        <w:tabs>
          <w:tab w:leader="none" w:pos="1182"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monies at any time received by it pursuant to any of the provisions of this Agreement or of the Warrant Certificates.</w:t>
      </w:r>
    </w:p>
    <w:p>
      <w:pPr>
        <w:spacing w:after="0" w:line="122" w:lineRule="exact"/>
        <w:rPr>
          <w:rFonts w:ascii="Times New Roman" w:cs="Times New Roman" w:eastAsia="Times New Roman" w:hAnsi="Times New Roman"/>
          <w:sz w:val="14"/>
          <w:szCs w:val="14"/>
          <w:b w:val="1"/>
          <w:bCs w:val="1"/>
          <w:color w:val="auto"/>
        </w:rPr>
      </w:pPr>
    </w:p>
    <w:p>
      <w:pPr>
        <w:ind w:left="240" w:right="459" w:firstLine="766"/>
        <w:spacing w:after="0" w:line="283" w:lineRule="auto"/>
        <w:tabs>
          <w:tab w:leader="none" w:pos="1205"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(except as to the Warrant Agent’s countersignature thereon).</w:t>
      </w:r>
    </w:p>
    <w:p>
      <w:pPr>
        <w:spacing w:after="0" w:line="122" w:lineRule="exact"/>
        <w:rPr>
          <w:rFonts w:ascii="Times New Roman" w:cs="Times New Roman" w:eastAsia="Times New Roman" w:hAnsi="Times New Roman"/>
          <w:sz w:val="14"/>
          <w:szCs w:val="14"/>
          <w:b w:val="1"/>
          <w:bCs w:val="1"/>
          <w:color w:val="auto"/>
        </w:rPr>
      </w:pPr>
    </w:p>
    <w:p>
      <w:pPr>
        <w:ind w:left="240" w:right="279" w:firstLine="766"/>
        <w:spacing w:after="0" w:line="283" w:lineRule="auto"/>
        <w:tabs>
          <w:tab w:leader="none" w:pos="1213"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Warrant Certificates (except as to the Warrant Agent’s countersignature thereon), all of which are made solely by the Company.</w:t>
      </w:r>
    </w:p>
    <w:p>
      <w:pPr>
        <w:spacing w:after="0" w:line="122" w:lineRule="exact"/>
        <w:rPr>
          <w:rFonts w:ascii="Times New Roman" w:cs="Times New Roman" w:eastAsia="Times New Roman" w:hAnsi="Times New Roman"/>
          <w:sz w:val="14"/>
          <w:szCs w:val="14"/>
          <w:b w:val="1"/>
          <w:bCs w:val="1"/>
          <w:color w:val="auto"/>
        </w:rPr>
      </w:pPr>
    </w:p>
    <w:p>
      <w:pPr>
        <w:ind w:left="240" w:right="259" w:firstLine="766"/>
        <w:spacing w:after="0" w:line="253" w:lineRule="auto"/>
        <w:tabs>
          <w:tab w:leader="none" w:pos="1174"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Implied Obligations. </w:t>
      </w:r>
      <w:r>
        <w:rPr>
          <w:rFonts w:ascii="Times New Roman" w:cs="Times New Roman" w:eastAsia="Times New Roman" w:hAnsi="Times New Roman"/>
          <w:sz w:val="14"/>
          <w:szCs w:val="14"/>
          <w:color w:val="auto"/>
        </w:rPr>
        <w:t>The Warrant Agent shall be obligated to perform only such duties as are herein and in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6" w:lineRule="exact"/>
        <w:rPr>
          <w:sz w:val="20"/>
          <w:szCs w:val="20"/>
          <w:color w:val="auto"/>
        </w:rPr>
      </w:pPr>
    </w:p>
    <w:p>
      <w:pPr>
        <w:ind w:left="240" w:right="639" w:firstLine="766"/>
        <w:spacing w:after="0" w:line="280" w:lineRule="auto"/>
        <w:tabs>
          <w:tab w:leader="none" w:pos="1205"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175" w:name="page176"/>
    <w:bookmarkEnd w:id="175"/>
    <w:p>
      <w:pPr>
        <w:ind w:left="240" w:right="279" w:firstLine="766"/>
        <w:spacing w:after="0" w:line="253" w:lineRule="auto"/>
        <w:tabs>
          <w:tab w:leader="none" w:pos="1213"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7" w:lineRule="exact"/>
        <w:rPr>
          <w:rFonts w:ascii="Times New Roman" w:cs="Times New Roman" w:eastAsia="Times New Roman" w:hAnsi="Times New Roman"/>
          <w:sz w:val="14"/>
          <w:szCs w:val="14"/>
          <w:b w:val="1"/>
          <w:bCs w:val="1"/>
          <w:color w:val="auto"/>
        </w:rPr>
      </w:pPr>
    </w:p>
    <w:p>
      <w:pPr>
        <w:ind w:left="240" w:right="359" w:firstLine="766"/>
        <w:spacing w:after="0" w:line="252" w:lineRule="auto"/>
        <w:tabs>
          <w:tab w:leader="none" w:pos="1197"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4" w:lineRule="exact"/>
        <w:rPr>
          <w:rFonts w:ascii="Times New Roman" w:cs="Times New Roman" w:eastAsia="Times New Roman" w:hAnsi="Times New Roman"/>
          <w:sz w:val="14"/>
          <w:szCs w:val="14"/>
          <w:b w:val="1"/>
          <w:bCs w:val="1"/>
          <w:color w:val="auto"/>
        </w:rPr>
      </w:pPr>
    </w:p>
    <w:p>
      <w:pPr>
        <w:ind w:left="240" w:right="279" w:firstLine="766"/>
        <w:spacing w:after="0" w:line="255" w:lineRule="auto"/>
        <w:tabs>
          <w:tab w:leader="none" w:pos="1213"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4" w:lineRule="exact"/>
        <w:rPr>
          <w:rFonts w:ascii="Times New Roman" w:cs="Times New Roman" w:eastAsia="Times New Roman" w:hAnsi="Times New Roman"/>
          <w:sz w:val="14"/>
          <w:szCs w:val="14"/>
          <w:b w:val="1"/>
          <w:bCs w:val="1"/>
          <w:color w:val="auto"/>
        </w:rPr>
      </w:pPr>
    </w:p>
    <w:p>
      <w:pPr>
        <w:ind w:left="240" w:right="279" w:firstLine="766"/>
        <w:spacing w:after="0" w:line="257" w:lineRule="auto"/>
        <w:tabs>
          <w:tab w:leader="none" w:pos="1197"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6</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4" w:lineRule="exact"/>
        <w:rPr>
          <w:sz w:val="20"/>
          <w:szCs w:val="20"/>
          <w:color w:val="auto"/>
        </w:rPr>
      </w:pPr>
    </w:p>
    <w:p>
      <w:pPr>
        <w:jc w:val="both"/>
        <w:ind w:left="240" w:right="479" w:firstLine="34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9" w:lineRule="exact"/>
        <w:rPr>
          <w:sz w:val="20"/>
          <w:szCs w:val="20"/>
          <w:color w:val="auto"/>
        </w:rPr>
      </w:pPr>
    </w:p>
    <w:p>
      <w:pPr>
        <w:ind w:left="240" w:right="4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the holder of a Warrant Certificate pursuant to the provisions of the Warrant Certificates, the Warrant Agent shall promptly forward such notice or demand to the Company.</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w:t>
      </w:r>
    </w:p>
    <w:p>
      <w:pPr>
        <w:spacing w:after="0" w:line="23" w:lineRule="exact"/>
        <w:rPr>
          <w:sz w:val="20"/>
          <w:szCs w:val="20"/>
          <w:color w:val="auto"/>
        </w:rPr>
      </w:pPr>
    </w:p>
    <w:p>
      <w:pPr>
        <w:ind w:left="240" w:right="279" w:hanging="2"/>
        <w:spacing w:after="0" w:line="254" w:lineRule="auto"/>
        <w:tabs>
          <w:tab w:leader="none" w:pos="41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any communication from the Warrant Agent to the Company with respect to this Agreement shall be addressed to Annexon, Inc., 1400 Sierra Point Parkway, Bldg C, Suite 200, Brisbane, California 94005, Attention: [•] (or such other address as shall be specified in writing by the Warrant Agent or by the Company).</w:t>
      </w:r>
    </w:p>
    <w:p>
      <w:pPr>
        <w:spacing w:after="0" w:line="141" w:lineRule="exact"/>
        <w:rPr>
          <w:sz w:val="20"/>
          <w:szCs w:val="20"/>
          <w:color w:val="auto"/>
        </w:rPr>
      </w:pPr>
    </w:p>
    <w:p>
      <w:pPr>
        <w:ind w:left="240" w:right="43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of the State of New York.</w:t>
      </w:r>
    </w:p>
    <w:p>
      <w:pPr>
        <w:spacing w:after="0" w:line="122"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of 1933, as amended, relating to the Warrant Debt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38" w:lineRule="exact"/>
        <w:rPr>
          <w:sz w:val="20"/>
          <w:szCs w:val="20"/>
          <w:color w:val="auto"/>
        </w:rPr>
      </w:pPr>
    </w:p>
    <w:p>
      <w:pPr>
        <w:ind w:left="240" w:right="299" w:firstLine="34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6.6 Obtaining of Governmental Approvals. </w:t>
      </w:r>
      <w:r>
        <w:rPr>
          <w:rFonts w:ascii="Times New Roman" w:cs="Times New Roman" w:eastAsia="Times New Roman" w:hAnsi="Times New Roman"/>
          <w:sz w:val="14"/>
          <w:szCs w:val="14"/>
          <w:color w:val="auto"/>
        </w:rPr>
        <w:t>The Company will from time to time take all action which may be necessary to obtain and keep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41" w:lineRule="exact"/>
        <w:rPr>
          <w:sz w:val="20"/>
          <w:szCs w:val="20"/>
          <w:color w:val="auto"/>
        </w:rPr>
      </w:pPr>
    </w:p>
    <w:p>
      <w:pPr>
        <w:ind w:left="240" w:right="53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and the holders of the Warrant Certificates any right, remedy or claim under or by reason of this Agreement.</w:t>
      </w:r>
    </w:p>
    <w:p>
      <w:pPr>
        <w:spacing w:after="0" w:line="122" w:lineRule="exact"/>
        <w:rPr>
          <w:sz w:val="20"/>
          <w:szCs w:val="20"/>
          <w:color w:val="auto"/>
        </w:rPr>
      </w:pPr>
    </w:p>
    <w:p>
      <w:pPr>
        <w:ind w:left="240" w:right="51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or affect the meaning or construction of any of the provisions hereof.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177" w:name="page178"/>
    <w:bookmarkEnd w:id="177"/>
    <w:p>
      <w:pPr>
        <w:ind w:left="240" w:right="67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but such counterparts shall together constitute but one and the same instrument.</w:t>
      </w:r>
    </w:p>
    <w:p>
      <w:pPr>
        <w:spacing w:after="0" w:line="122" w:lineRule="exact"/>
        <w:rPr>
          <w:sz w:val="20"/>
          <w:szCs w:val="20"/>
          <w:color w:val="auto"/>
        </w:rPr>
      </w:pPr>
    </w:p>
    <w:p>
      <w:pPr>
        <w:jc w:val="both"/>
        <w:ind w:left="240" w:right="47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for inspection by the holder of any Warrant Certificate. The Warrant Agent may require such holder to submit such holder’s Warrant Certificate for inspection by it.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178" w:name="page179"/>
    <w:bookmarkEnd w:id="178"/>
    <w:p>
      <w:pPr>
        <w:ind w:left="5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Agreement to be duly executed as of the day and year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Annexon, Inc., as Company</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13335</wp:posOffset>
            </wp:positionV>
            <wp:extent cx="179895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17145</wp:posOffset>
            </wp:positionV>
            <wp:extent cx="179895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-95250</wp:posOffset>
            </wp:positionV>
            <wp:extent cx="179895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127635</wp:posOffset>
            </wp:positionV>
            <wp:extent cx="179895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14605</wp:posOffset>
            </wp:positionV>
            <wp:extent cx="179895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3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OUNTERSIGNED</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13335</wp:posOffset>
            </wp:positionV>
            <wp:extent cx="179895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17145</wp:posOffset>
            </wp:positionV>
            <wp:extent cx="179895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-95250</wp:posOffset>
            </wp:positionV>
            <wp:extent cx="179895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127635</wp:posOffset>
            </wp:positionV>
            <wp:extent cx="179895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1798955" cy="635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14605</wp:posOffset>
            </wp:positionV>
            <wp:extent cx="179895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1798955" cy="6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NNEXON</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4"/>
          <w:szCs w:val="14"/>
          <w:color w:val="auto"/>
        </w:rPr>
        <w:t>. D</w:t>
      </w:r>
      <w:r>
        <w:rPr>
          <w:rFonts w:ascii="Times New Roman" w:cs="Times New Roman" w:eastAsia="Times New Roman" w:hAnsi="Times New Roman"/>
          <w:sz w:val="11"/>
          <w:szCs w:val="11"/>
          <w:color w:val="auto"/>
        </w:rPr>
        <w:t>EBT</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ECURITIES</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9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FORM OF WARRANT CERTIFICATE</w:t>
      </w:r>
    </w:p>
    <w:p>
      <w:pPr>
        <w:spacing w:after="0" w:line="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[FACE OF WARRANT CERTIFICATE]</w:t>
      </w:r>
    </w:p>
    <w:p>
      <w:pPr>
        <w:sectPr>
          <w:pgSz w:w="11900" w:h="16838" w:orient="portrait"/>
          <w:cols w:equalWidth="0" w:num="1">
            <w:col w:w="9019"/>
          </w:cols>
          <w:pgMar w:left="1440" w:top="238" w:right="1440" w:bottom="1440" w:gutter="0" w:footer="0" w:header="0"/>
        </w:sectPr>
      </w:pP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Form of Legend if Warrants are not immediately exercisable.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to [•], Warrants evidenced by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 Certificate cannot be exercised.]</w:t>
      </w:r>
    </w:p>
    <w:p>
      <w:pPr>
        <w:spacing w:after="0" w:line="181" w:lineRule="exact"/>
        <w:rPr>
          <w:sz w:val="20"/>
          <w:szCs w:val="20"/>
          <w:color w:val="auto"/>
        </w:rPr>
      </w:pPr>
    </w:p>
    <w:p>
      <w:pPr>
        <w:sectPr>
          <w:pgSz w:w="11900" w:h="16838" w:orient="portrait"/>
          <w:cols w:equalWidth="0" w:num="2">
            <w:col w:w="3960" w:space="720"/>
            <w:col w:w="4339"/>
          </w:cols>
          <w:pgMar w:left="1440" w:top="23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EXERCISABLE ONLY IF COUNTERSIGNED BY THE WARRANT AGENT AS PROVIDED 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VOID AFTER [•] P.M., [City] time, ON [•].</w:t>
      </w:r>
    </w:p>
    <w:p>
      <w:pPr>
        <w:sectPr>
          <w:pgSz w:w="11900" w:h="16838" w:orient="portrait"/>
          <w:cols w:equalWidth="0" w:num="1">
            <w:col w:w="9019"/>
          </w:cols>
          <w:pgMar w:left="1440" w:top="238" w:right="1440" w:bottom="1440"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ANNEXON,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WARRANT DEBT SECURITIES]</w:t>
      </w:r>
    </w:p>
    <w:p>
      <w:pPr>
        <w:spacing w:after="0" w:line="180" w:lineRule="exact"/>
        <w:rPr>
          <w:sz w:val="20"/>
          <w:szCs w:val="20"/>
          <w:color w:val="auto"/>
        </w:rPr>
      </w:pPr>
    </w:p>
    <w:p>
      <w:pPr>
        <w:ind w:left="240"/>
        <w:spacing w:after="0"/>
        <w:tabs>
          <w:tab w:leader="none" w:pos="808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4" w:lineRule="exact"/>
        <w:rPr>
          <w:sz w:val="20"/>
          <w:szCs w:val="20"/>
          <w:color w:val="auto"/>
        </w:rPr>
      </w:pPr>
    </w:p>
    <w:p>
      <w:pPr>
        <w:ind w:left="240" w:right="319"/>
        <w:spacing w:after="0" w:line="251"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4"/>
          <w:szCs w:val="14"/>
          <w:b w:val="1"/>
          <w:bCs w:val="1"/>
          <w:i w:val="1"/>
          <w:iCs w:val="1"/>
          <w:color w:val="auto"/>
        </w:rPr>
        <w:t>Warrant Debt Securities</w:t>
      </w:r>
      <w:r>
        <w:rPr>
          <w:rFonts w:ascii="Times New Roman" w:cs="Times New Roman" w:eastAsia="Times New Roman" w:hAnsi="Times New Roman"/>
          <w:sz w:val="14"/>
          <w:szCs w:val="14"/>
          <w:color w:val="auto"/>
        </w:rPr>
        <w:t>”), of Annexon,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8" w:lineRule="exact"/>
        <w:rPr>
          <w:sz w:val="20"/>
          <w:szCs w:val="20"/>
          <w:color w:val="auto"/>
        </w:rPr>
      </w:pPr>
    </w:p>
    <w:p>
      <w:pPr>
        <w:ind w:left="240" w:right="559"/>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4" w:lineRule="exact"/>
        <w:rPr>
          <w:sz w:val="20"/>
          <w:szCs w:val="20"/>
          <w:color w:val="auto"/>
        </w:rPr>
      </w:pPr>
    </w:p>
    <w:p>
      <w:pPr>
        <w:jc w:val="both"/>
        <w:ind w:left="240" w:right="519"/>
        <w:spacing w:after="0" w:line="259"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39"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ectPr>
          <w:pgSz w:w="11900" w:h="16838" w:orient="portrait"/>
          <w:cols w:equalWidth="0" w:num="1">
            <w:col w:w="9019"/>
          </w:cols>
          <w:pgMar w:left="1440" w:top="238" w:right="1440" w:bottom="1440" w:gutter="0" w:footer="0" w:header="0"/>
        </w:sectPr>
      </w:pPr>
    </w:p>
    <w:bookmarkStart w:id="181" w:name="page182"/>
    <w:bookmarkEnd w:id="181"/>
    <w:p>
      <w:pPr>
        <w:ind w:left="240" w:right="3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between the Company and [•], as trustee (such trustee, and any successors to such trustee,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41" w:lineRule="exact"/>
        <w:rPr>
          <w:sz w:val="20"/>
          <w:szCs w:val="20"/>
          <w:color w:val="auto"/>
        </w:rPr>
      </w:pPr>
    </w:p>
    <w:p>
      <w:pPr>
        <w:ind w:left="240" w:right="379"/>
        <w:spacing w:after="0" w:line="280"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6" w:lineRule="exact"/>
        <w:rPr>
          <w:sz w:val="20"/>
          <w:szCs w:val="20"/>
          <w:color w:val="auto"/>
        </w:rPr>
      </w:pPr>
    </w:p>
    <w:p>
      <w:pPr>
        <w:jc w:val="both"/>
        <w:ind w:left="240" w:right="519"/>
        <w:spacing w:after="0" w:line="265" w:lineRule="auto"/>
        <w:rPr>
          <w:sz w:val="20"/>
          <w:szCs w:val="20"/>
          <w:color w:val="auto"/>
        </w:rPr>
      </w:pPr>
      <w:r>
        <w:rPr>
          <w:rFonts w:ascii="Times New Roman" w:cs="Times New Roman" w:eastAsia="Times New Roman" w:hAnsi="Times New Roman"/>
          <w:sz w:val="14"/>
          <w:szCs w:val="14"/>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36" w:lineRule="exact"/>
        <w:rPr>
          <w:sz w:val="20"/>
          <w:szCs w:val="20"/>
          <w:color w:val="auto"/>
        </w:rPr>
      </w:pPr>
    </w:p>
    <w:p>
      <w:pPr>
        <w:jc w:val="both"/>
        <w:ind w:left="240" w:right="359"/>
        <w:spacing w:after="0" w:line="265"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36" w:lineRule="exact"/>
        <w:rPr>
          <w:sz w:val="20"/>
          <w:szCs w:val="20"/>
          <w:color w:val="auto"/>
        </w:rPr>
      </w:pPr>
    </w:p>
    <w:p>
      <w:pPr>
        <w:ind w:left="240" w:right="659"/>
        <w:spacing w:after="0" w:line="280"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2" w:lineRule="exact"/>
        <w:rPr>
          <w:sz w:val="20"/>
          <w:szCs w:val="20"/>
          <w:color w:val="auto"/>
        </w:rPr>
      </w:pPr>
    </w:p>
    <w:p>
      <w:pPr>
        <w:ind w:left="240" w:right="659"/>
        <w:spacing w:after="0" w:line="283"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officers.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-5715</wp:posOffset>
            </wp:positionV>
            <wp:extent cx="35369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353695" cy="6350"/>
                    </a:xfrm>
                    <a:prstGeom prst="rect">
                      <a:avLst/>
                    </a:prstGeom>
                    <a:noFill/>
                  </pic:spPr>
                </pic:pic>
              </a:graphicData>
            </a:graphic>
          </wp:anchor>
        </w:drawing>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ANNEXON, INC.</w:t>
      </w:r>
      <w:r>
        <w:rPr>
          <w:rFonts w:ascii="Times New Roman" w:cs="Times New Roman" w:eastAsia="Times New Roman" w:hAnsi="Times New Roman"/>
          <w:sz w:val="14"/>
          <w:szCs w:val="14"/>
          <w:color w:val="auto"/>
        </w:rPr>
        <w:t>, as Company</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17145</wp:posOffset>
            </wp:positionV>
            <wp:extent cx="171259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-95250</wp:posOffset>
            </wp:positionV>
            <wp:extent cx="171259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133985</wp:posOffset>
            </wp:positionV>
            <wp:extent cx="171259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14605</wp:posOffset>
            </wp:positionV>
            <wp:extent cx="171259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3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10795</wp:posOffset>
            </wp:positionV>
            <wp:extent cx="171259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2" w:name="page183"/>
    <w:bookmarkEnd w:id="182"/>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126365</wp:posOffset>
            </wp:positionV>
            <wp:extent cx="171259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13335</wp:posOffset>
            </wp:positionV>
            <wp:extent cx="171259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134620</wp:posOffset>
            </wp:positionV>
            <wp:extent cx="171259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1712595" cy="635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22225</wp:posOffset>
            </wp:positionV>
            <wp:extent cx="171259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1712595" cy="63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[REVERSE OF WARRANT CERTIFICATE]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76" w:lineRule="exact"/>
        <w:rPr>
          <w:sz w:val="20"/>
          <w:szCs w:val="20"/>
          <w:color w:val="auto"/>
        </w:rPr>
      </w:pPr>
    </w:p>
    <w:p>
      <w:pPr>
        <w:ind w:left="240" w:right="339" w:firstLine="341"/>
        <w:spacing w:after="0" w:line="254" w:lineRule="auto"/>
        <w:rPr>
          <w:sz w:val="20"/>
          <w:szCs w:val="20"/>
          <w:color w:val="auto"/>
        </w:rPr>
      </w:pPr>
      <w:r>
        <w:rPr>
          <w:rFonts w:ascii="Times New Roman" w:cs="Times New Roman" w:eastAsia="Times New Roman" w:hAnsi="Times New Roman"/>
          <w:sz w:val="14"/>
          <w:szCs w:val="14"/>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The undersigned hereby irrevocably elects to exercise ______ Warrants, evidenced by this Warrant Certificate, to purchase _______ $[•] principal</w:t>
      </w:r>
    </w:p>
    <w:p>
      <w:pPr>
        <w:spacing w:after="0" w:line="33" w:lineRule="exact"/>
        <w:rPr>
          <w:sz w:val="20"/>
          <w:szCs w:val="20"/>
          <w:color w:val="auto"/>
        </w:rPr>
      </w:pPr>
    </w:p>
    <w:p>
      <w:pPr>
        <w:ind w:left="240" w:right="339"/>
        <w:spacing w:after="0" w:line="268" w:lineRule="auto"/>
        <w:rPr>
          <w:sz w:val="20"/>
          <w:szCs w:val="20"/>
          <w:color w:val="auto"/>
        </w:rPr>
      </w:pPr>
      <w:r>
        <w:rPr>
          <w:rFonts w:ascii="Times New Roman" w:cs="Times New Roman" w:eastAsia="Times New Roman" w:hAnsi="Times New Roman"/>
          <w:sz w:val="13"/>
          <w:szCs w:val="13"/>
          <w:color w:val="auto"/>
        </w:rPr>
        <w:t>amount of the [TITLE OF WARRANT DEBT SECURITIES] (the “</w:t>
      </w:r>
      <w:r>
        <w:rPr>
          <w:rFonts w:ascii="Times New Roman" w:cs="Times New Roman" w:eastAsia="Times New Roman" w:hAnsi="Times New Roman"/>
          <w:sz w:val="13"/>
          <w:szCs w:val="13"/>
          <w:b w:val="1"/>
          <w:bCs w:val="1"/>
          <w:i w:val="1"/>
          <w:iCs w:val="1"/>
          <w:color w:val="auto"/>
        </w:rPr>
        <w:t>Warrant Debt Securities</w:t>
      </w:r>
      <w:r>
        <w:rPr>
          <w:rFonts w:ascii="Times New Roman" w:cs="Times New Roman" w:eastAsia="Times New Roman" w:hAnsi="Times New Roman"/>
          <w:sz w:val="13"/>
          <w:szCs w:val="13"/>
          <w:color w:val="auto"/>
        </w:rPr>
        <w:t>”), of Annexon,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Annexon, Inc., c/o [insert name and address of Warrant Agent], in the amount of $_________ in accordance with the terms hereof. The undersigned requests that said principal amount of</w:t>
      </w:r>
    </w:p>
    <w:p>
      <w:pPr>
        <w:spacing w:after="0" w:line="1" w:lineRule="exact"/>
        <w:rPr>
          <w:sz w:val="20"/>
          <w:szCs w:val="20"/>
          <w:color w:val="auto"/>
        </w:rPr>
      </w:pPr>
    </w:p>
    <w:p>
      <w:pPr>
        <w:ind w:left="240" w:right="879"/>
        <w:spacing w:after="0" w:line="258" w:lineRule="auto"/>
        <w:rPr>
          <w:sz w:val="20"/>
          <w:szCs w:val="20"/>
          <w:color w:val="auto"/>
        </w:rPr>
      </w:pPr>
      <w:r>
        <w:rPr>
          <w:rFonts w:ascii="Times New Roman" w:cs="Times New Roman" w:eastAsia="Times New Roman" w:hAnsi="Times New Roman"/>
          <w:sz w:val="14"/>
          <w:szCs w:val="14"/>
          <w:color w:val="auto"/>
        </w:rPr>
        <w:t>Warrant Debt Securities be in fully registered form in the authorized denominations, registered in such names and delivered all as specified in accordance with the instructions set forth below.</w:t>
      </w:r>
    </w:p>
    <w:p>
      <w:pPr>
        <w:spacing w:after="0" w:line="141"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Dated:                                       </w:t>
            </w:r>
          </w:p>
        </w:tc>
        <w:tc>
          <w:tcPr>
            <w:tcW w:w="582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 xml:space="preserve">Name:                                                                     </w:t>
            </w:r>
          </w:p>
        </w:tc>
      </w:tr>
      <w:tr>
        <w:trPr>
          <w:trHeight w:val="179"/>
        </w:trPr>
        <w:tc>
          <w:tcPr>
            <w:tcW w:w="44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2620" w:type="dxa"/>
            <w:vAlign w:val="bottom"/>
          </w:tcPr>
          <w:p>
            <w:pPr>
              <w:spacing w:after="0"/>
              <w:rPr>
                <w:sz w:val="15"/>
                <w:szCs w:val="15"/>
                <w:color w:val="auto"/>
              </w:rPr>
            </w:pPr>
          </w:p>
        </w:tc>
        <w:tc>
          <w:tcPr>
            <w:tcW w:w="320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Please Print</w:t>
            </w:r>
          </w:p>
        </w:tc>
      </w:tr>
      <w:tr>
        <w:trPr>
          <w:trHeight w:val="33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Address:</w:t>
            </w:r>
          </w:p>
        </w:tc>
        <w:tc>
          <w:tcPr>
            <w:tcW w:w="26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3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-99060</wp:posOffset>
            </wp:positionV>
            <wp:extent cx="27686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2768600" cy="6350"/>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Signature Guaranteed: 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-5715</wp:posOffset>
            </wp:positionV>
            <wp:extent cx="150431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1504315" cy="6350"/>
                    </a:xfrm>
                    <a:prstGeom prst="rect">
                      <a:avLst/>
                    </a:prstGeom>
                    <a:noFill/>
                  </pic:spPr>
                </pic:pic>
              </a:graphicData>
            </a:graphic>
          </wp:anchor>
        </w:drawing>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w:t>
      </w:r>
    </w:p>
    <w:p>
      <w:pPr>
        <w:spacing w:after="0" w:line="159" w:lineRule="exact"/>
        <w:rPr>
          <w:sz w:val="20"/>
          <w:szCs w:val="20"/>
          <w:color w:val="auto"/>
        </w:rPr>
      </w:pPr>
    </w:p>
    <w:p>
      <w:pPr>
        <w:ind w:left="240" w:right="439"/>
        <w:spacing w:after="0" w:line="280" w:lineRule="auto"/>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184" w:name="page185"/>
    <w:bookmarkEnd w:id="184"/>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mail at:</w:t>
      </w:r>
    </w:p>
    <w:p>
      <w:pPr>
        <w:spacing w:after="0" w:line="90" w:lineRule="exact"/>
        <w:rPr>
          <w:sz w:val="20"/>
          <w:szCs w:val="20"/>
          <w:color w:val="auto"/>
        </w:rPr>
      </w:pPr>
    </w:p>
    <w:p>
      <w:pPr>
        <w:ind w:left="240" w:right="359"/>
        <w:spacing w:after="0" w:line="280" w:lineRule="auto"/>
        <w:rPr>
          <w:sz w:val="20"/>
          <w:szCs w:val="20"/>
          <w:color w:val="auto"/>
        </w:rPr>
      </w:pPr>
      <w:r>
        <w:rPr>
          <w:rFonts w:ascii="Times New Roman" w:cs="Times New Roman" w:eastAsia="Times New Roman" w:hAnsi="Times New Roman"/>
          <w:sz w:val="14"/>
          <w:szCs w:val="14"/>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9019"/>
          </w:cols>
          <w:pgMar w:left="1440" w:top="240" w:right="1440"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ASSIGNMENT</w:t>
      </w:r>
    </w:p>
    <w:p>
      <w:pPr>
        <w:spacing w:after="0" w:line="17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p>
      <w:pPr>
        <w:spacing w:after="0" w:line="374" w:lineRule="exact"/>
        <w:rPr>
          <w:sz w:val="20"/>
          <w:szCs w:val="20"/>
          <w:color w:val="auto"/>
        </w:rPr>
      </w:pPr>
    </w:p>
    <w:p>
      <w:pPr>
        <w:ind w:left="240"/>
        <w:spacing w:after="0"/>
        <w:tabs>
          <w:tab w:leader="none" w:pos="4920" w:val="left"/>
        </w:tabs>
        <w:rPr>
          <w:sz w:val="20"/>
          <w:szCs w:val="20"/>
          <w:color w:val="auto"/>
        </w:rPr>
      </w:pPr>
      <w:r>
        <w:rPr>
          <w:rFonts w:ascii="Times New Roman" w:cs="Times New Roman" w:eastAsia="Times New Roman" w:hAnsi="Times New Roman"/>
          <w:sz w:val="14"/>
          <w:szCs w:val="14"/>
          <w:color w:val="auto"/>
        </w:rPr>
        <w:t>(Please print name and address including zip code)</w:t>
      </w:r>
      <w:r>
        <w:rPr>
          <w:sz w:val="20"/>
          <w:szCs w:val="20"/>
          <w:color w:val="auto"/>
        </w:rPr>
        <w:tab/>
      </w:r>
      <w:r>
        <w:rPr>
          <w:rFonts w:ascii="Times New Roman" w:cs="Times New Roman" w:eastAsia="Times New Roman" w:hAnsi="Times New Roman"/>
          <w:sz w:val="13"/>
          <w:szCs w:val="13"/>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-99060</wp:posOffset>
            </wp:positionV>
            <wp:extent cx="541718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right represented by the within Warrant to purchase ________ aggregate principal amount of [Title of Warrant Debt Securities] of Annexon, Inc. to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which the within Warrant relates and appoints ____________________ attorney to transfer such right on the books of the Warrant Agent with full power</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of substitution in the premises.</w:t>
      </w:r>
    </w:p>
    <w:p>
      <w:pPr>
        <w:spacing w:after="0" w:line="180" w:lineRule="exact"/>
        <w:rPr>
          <w:sz w:val="20"/>
          <w:szCs w:val="20"/>
          <w:color w:val="auto"/>
        </w:rPr>
      </w:pPr>
    </w:p>
    <w:p>
      <w:pPr>
        <w:ind w:left="240"/>
        <w:spacing w:after="0"/>
        <w:tabs>
          <w:tab w:leader="none" w:pos="4420" w:val="left"/>
        </w:tabs>
        <w:rPr>
          <w:sz w:val="20"/>
          <w:szCs w:val="20"/>
          <w:color w:val="auto"/>
        </w:rPr>
      </w:pPr>
      <w:r>
        <w:rPr>
          <w:rFonts w:ascii="Times New Roman" w:cs="Times New Roman" w:eastAsia="Times New Roman" w:hAnsi="Times New Roman"/>
          <w:sz w:val="14"/>
          <w:szCs w:val="14"/>
          <w:color w:val="auto"/>
        </w:rPr>
        <w:t xml:space="preserve">Dated:                           </w:t>
      </w:r>
      <w:r>
        <w:rPr>
          <w:sz w:val="20"/>
          <w:szCs w:val="20"/>
          <w:color w:val="auto"/>
        </w:rPr>
        <w:tab/>
      </w: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13335</wp:posOffset>
            </wp:positionV>
            <wp:extent cx="248983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2489835" cy="635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-5715</wp:posOffset>
            </wp:positionV>
            <wp:extent cx="79629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796290" cy="635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Signature</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259080</wp:posOffset>
            </wp:positionV>
            <wp:extent cx="216408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2164080" cy="635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186" w:name="page187"/>
    <w:bookmarkEnd w:id="186"/>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133985</wp:posOffset>
            </wp:positionV>
            <wp:extent cx="916305" cy="298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91630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Divakar Gupta</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+1 212 479 6474</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dgupta@cooley.com</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March 30, 2026</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Annexon, Inc.</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1400 Sierra Point Parkway</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Bldg C, Suite 200</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Brisbane, California 94005</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8" w:lineRule="exact"/>
        <w:rPr>
          <w:sz w:val="20"/>
          <w:szCs w:val="20"/>
          <w:color w:val="auto"/>
        </w:rPr>
      </w:pPr>
    </w:p>
    <w:p>
      <w:pPr>
        <w:ind w:left="240" w:right="339"/>
        <w:spacing w:after="0" w:line="277" w:lineRule="auto"/>
        <w:rPr>
          <w:sz w:val="20"/>
          <w:szCs w:val="20"/>
          <w:color w:val="auto"/>
        </w:rPr>
      </w:pPr>
      <w:r>
        <w:rPr>
          <w:rFonts w:ascii="Times New Roman" w:cs="Times New Roman" w:eastAsia="Times New Roman" w:hAnsi="Times New Roman"/>
          <w:sz w:val="13"/>
          <w:szCs w:val="13"/>
          <w:color w:val="auto"/>
        </w:rPr>
        <w:t>We have acted as counsel to Annexon,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the filing of the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by the Company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The Registration Statement includes two prospectuses: (i) a base prospectus (the “</w:t>
      </w:r>
      <w:r>
        <w:rPr>
          <w:rFonts w:ascii="Times New Roman" w:cs="Times New Roman" w:eastAsia="Times New Roman" w:hAnsi="Times New Roman"/>
          <w:sz w:val="13"/>
          <w:szCs w:val="13"/>
          <w:b w:val="1"/>
          <w:bCs w:val="1"/>
          <w:i w:val="1"/>
          <w:iCs w:val="1"/>
          <w:color w:val="auto"/>
        </w:rPr>
        <w:t>Base Prospectus</w:t>
      </w:r>
      <w:r>
        <w:rPr>
          <w:rFonts w:ascii="Times New Roman" w:cs="Times New Roman" w:eastAsia="Times New Roman" w:hAnsi="Times New Roman"/>
          <w:sz w:val="13"/>
          <w:szCs w:val="13"/>
          <w:color w:val="auto"/>
        </w:rPr>
        <w:t>”) and</w:t>
      </w:r>
    </w:p>
    <w:p>
      <w:pPr>
        <w:spacing w:after="0" w:line="1" w:lineRule="exact"/>
        <w:rPr>
          <w:sz w:val="20"/>
          <w:szCs w:val="20"/>
          <w:color w:val="auto"/>
        </w:rPr>
      </w:pPr>
    </w:p>
    <w:p>
      <w:pPr>
        <w:ind w:left="240" w:right="259" w:hanging="2"/>
        <w:spacing w:after="0" w:line="251" w:lineRule="auto"/>
        <w:tabs>
          <w:tab w:leader="none" w:pos="445"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(the “</w:t>
      </w:r>
      <w:r>
        <w:rPr>
          <w:rFonts w:ascii="Times New Roman" w:cs="Times New Roman" w:eastAsia="Times New Roman" w:hAnsi="Times New Roman"/>
          <w:sz w:val="14"/>
          <w:szCs w:val="14"/>
          <w:b w:val="1"/>
          <w:bCs w:val="1"/>
          <w:i w:val="1"/>
          <w:iCs w:val="1"/>
          <w:color w:val="auto"/>
        </w:rPr>
        <w:t>ATM Prospectus</w:t>
      </w:r>
      <w:r>
        <w:rPr>
          <w:rFonts w:ascii="Times New Roman" w:cs="Times New Roman" w:eastAsia="Times New Roman" w:hAnsi="Times New Roman"/>
          <w:sz w:val="14"/>
          <w:szCs w:val="14"/>
          <w:color w:val="auto"/>
        </w:rPr>
        <w:t>”), covering up to $150,000,000 of shares (the “</w:t>
      </w:r>
      <w:r>
        <w:rPr>
          <w:rFonts w:ascii="Times New Roman" w:cs="Times New Roman" w:eastAsia="Times New Roman" w:hAnsi="Times New Roman"/>
          <w:sz w:val="14"/>
          <w:szCs w:val="14"/>
          <w:b w:val="1"/>
          <w:bCs w:val="1"/>
          <w:i w:val="1"/>
          <w:iCs w:val="1"/>
          <w:color w:val="auto"/>
        </w:rPr>
        <w:t>Placement Shares</w:t>
      </w:r>
      <w:r>
        <w:rPr>
          <w:rFonts w:ascii="Times New Roman" w:cs="Times New Roman" w:eastAsia="Times New Roman" w:hAnsi="Times New Roman"/>
          <w:sz w:val="14"/>
          <w:szCs w:val="14"/>
          <w:color w:val="auto"/>
        </w:rPr>
        <w:t>”) of common stock, par value $0.001 per share, of the Company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that may be sold under the Sales Agreement, dated March 30, 2026, between the Company and TD Securities (USA) LLC (the “</w:t>
      </w:r>
      <w:r>
        <w:rPr>
          <w:rFonts w:ascii="Times New Roman" w:cs="Times New Roman" w:eastAsia="Times New Roman" w:hAnsi="Times New Roman"/>
          <w:sz w:val="14"/>
          <w:szCs w:val="14"/>
          <w:b w:val="1"/>
          <w:bCs w:val="1"/>
          <w:i w:val="1"/>
          <w:iCs w:val="1"/>
          <w:color w:val="auto"/>
        </w:rPr>
        <w:t>Sales Agreement</w:t>
      </w:r>
      <w:r>
        <w:rPr>
          <w:rFonts w:ascii="Times New Roman" w:cs="Times New Roman" w:eastAsia="Times New Roman" w:hAnsi="Times New Roman"/>
          <w:sz w:val="14"/>
          <w:szCs w:val="14"/>
          <w:color w:val="auto"/>
        </w:rPr>
        <w:t>”). The Base Prospectus provides that it will be supplemented in the future by one or more prospectus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and the ATM Prospectus, will provide for the registration by the Company and/or selling stockholders to be identified in one or more prospectus supplements, from time to time, of the sale of:</w:t>
      </w:r>
    </w:p>
    <w:p>
      <w:pPr>
        <w:spacing w:after="0" w:line="7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(the “</w:t>
      </w:r>
      <w:r>
        <w:rPr>
          <w:rFonts w:ascii="Times New Roman" w:cs="Times New Roman" w:eastAsia="Times New Roman" w:hAnsi="Times New Roman"/>
          <w:sz w:val="14"/>
          <w:szCs w:val="14"/>
          <w:b w:val="1"/>
          <w:bCs w:val="1"/>
          <w:i w:val="1"/>
          <w:iCs w:val="1"/>
          <w:color w:val="auto"/>
        </w:rPr>
        <w:t>Base Prospectus Shares</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par value $0.001 per share, of the Company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1000" w:right="279" w:hanging="343"/>
        <w:spacing w:after="0" w:line="260" w:lineRule="auto"/>
        <w:tabs>
          <w:tab w:leader="none" w:pos="10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4.4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1000" w:right="319" w:hanging="343"/>
        <w:spacing w:after="0" w:line="260" w:lineRule="auto"/>
        <w:tabs>
          <w:tab w:leader="none" w:pos="10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in the forms filed as Exhibits 4.6, 4.7 and 4.8, respectively, to the Registration Statement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1000" w:right="439" w:hanging="343"/>
        <w:spacing w:after="0" w:line="266" w:lineRule="auto"/>
        <w:tabs>
          <w:tab w:leader="none" w:pos="10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Common Stock, Preferred Stock, Debt Securities or Warrants (the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which may be issued pursuant to one or more unit agreements (each a “</w:t>
      </w:r>
      <w:r>
        <w:rPr>
          <w:rFonts w:ascii="Times New Roman" w:cs="Times New Roman" w:eastAsia="Times New Roman" w:hAnsi="Times New Roman"/>
          <w:sz w:val="14"/>
          <w:szCs w:val="14"/>
          <w:b w:val="1"/>
          <w:bCs w:val="1"/>
          <w:i w:val="1"/>
          <w:iCs w:val="1"/>
          <w:color w:val="auto"/>
        </w:rPr>
        <w:t>Unit Agreement</w:t>
      </w:r>
      <w:r>
        <w:rPr>
          <w:rFonts w:ascii="Times New Roman" w:cs="Times New Roman" w:eastAsia="Times New Roman" w:hAnsi="Times New Roman"/>
          <w:sz w:val="14"/>
          <w:szCs w:val="14"/>
          <w:color w:val="auto"/>
        </w:rPr>
        <w:t>”) to be dated on or about the date of the first issuance of Units thereunder; and</w:t>
      </w:r>
    </w:p>
    <w:p>
      <w:pPr>
        <w:spacing w:after="0" w:line="62"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Shares.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55 Hudson Yards New York, NY 10001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(212) 479-6000 f: (212) 479-6275 cooley.com</w:t>
      </w:r>
    </w:p>
    <w:p>
      <w:pPr>
        <w:sectPr>
          <w:pgSz w:w="11900" w:h="16838" w:orient="portrait"/>
          <w:cols w:equalWidth="0" w:num="1">
            <w:col w:w="9019"/>
          </w:cols>
          <w:pgMar w:left="1440" w:top="123" w:right="1440" w:bottom="1440" w:gutter="0" w:footer="0" w:header="0"/>
        </w:sectPr>
      </w:pPr>
    </w:p>
    <w:bookmarkStart w:id="187" w:name="page188"/>
    <w:bookmarkEnd w:id="187"/>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161925</wp:posOffset>
            </wp:positionV>
            <wp:extent cx="916305" cy="298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916305" cy="298450"/>
                    </a:xfrm>
                    <a:prstGeom prst="rect">
                      <a:avLst/>
                    </a:prstGeom>
                    <a:noFill/>
                  </pic:spPr>
                </pic:pic>
              </a:graphicData>
            </a:graphic>
          </wp:anchor>
        </w:drawing>
        <w:t>Page Two</w:t>
      </w:r>
    </w:p>
    <w:p>
      <w:pPr>
        <w:spacing w:after="0" w:line="194" w:lineRule="exact"/>
        <w:rPr>
          <w:sz w:val="20"/>
          <w:szCs w:val="20"/>
          <w:color w:val="auto"/>
        </w:rPr>
      </w:pPr>
    </w:p>
    <w:p>
      <w:pPr>
        <w:ind w:left="240" w:right="259"/>
        <w:spacing w:after="0" w:line="257" w:lineRule="auto"/>
        <w:rPr>
          <w:sz w:val="20"/>
          <w:szCs w:val="20"/>
          <w:color w:val="auto"/>
        </w:rPr>
      </w:pPr>
      <w:r>
        <w:rPr>
          <w:rFonts w:ascii="Times New Roman" w:cs="Times New Roman" w:eastAsia="Times New Roman" w:hAnsi="Times New Roman"/>
          <w:sz w:val="14"/>
          <w:szCs w:val="14"/>
          <w:color w:val="auto"/>
        </w:rPr>
        <w:t>The Base Prospectus Shares, the Preferred Stock, the Debt Securities, the Warrants, the Units and the Placement Shares, plus any additional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142" w:lineRule="exact"/>
        <w:rPr>
          <w:sz w:val="20"/>
          <w:szCs w:val="20"/>
          <w:color w:val="auto"/>
        </w:rPr>
      </w:pPr>
    </w:p>
    <w:p>
      <w:pPr>
        <w:ind w:left="240" w:right="419"/>
        <w:spacing w:after="0" w:line="259"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Company’s certificate of incorporation and bylaws, each as currently in effect, the Sales Agreement and such other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1" w:lineRule="exact"/>
        <w:rPr>
          <w:sz w:val="20"/>
          <w:szCs w:val="20"/>
          <w:color w:val="auto"/>
        </w:rPr>
      </w:pPr>
    </w:p>
    <w:p>
      <w:pPr>
        <w:ind w:left="240" w:right="299"/>
        <w:spacing w:after="0" w:line="294" w:lineRule="auto"/>
        <w:rPr>
          <w:sz w:val="20"/>
          <w:szCs w:val="20"/>
          <w:color w:val="auto"/>
        </w:rPr>
      </w:pPr>
      <w:r>
        <w:rPr>
          <w:rFonts w:ascii="Times New Roman" w:cs="Times New Roman" w:eastAsia="Times New Roman" w:hAnsi="Times New Roman"/>
          <w:sz w:val="13"/>
          <w:szCs w:val="13"/>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w:t>
      </w:r>
    </w:p>
    <w:p>
      <w:pPr>
        <w:spacing w:after="0" w:line="120" w:lineRule="exact"/>
        <w:rPr>
          <w:sz w:val="20"/>
          <w:szCs w:val="20"/>
          <w:color w:val="auto"/>
        </w:rPr>
      </w:pPr>
    </w:p>
    <w:p>
      <w:pPr>
        <w:ind w:left="240" w:right="279"/>
        <w:spacing w:after="0" w:line="251" w:lineRule="auto"/>
        <w:rPr>
          <w:sz w:val="20"/>
          <w:szCs w:val="20"/>
          <w:color w:val="auto"/>
        </w:rPr>
      </w:pPr>
      <w:r>
        <w:rPr>
          <w:rFonts w:ascii="Times New Roman" w:cs="Times New Roman" w:eastAsia="Times New Roman" w:hAnsi="Times New Roman"/>
          <w:sz w:val="14"/>
          <w:szCs w:val="14"/>
          <w:color w:val="auto"/>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Warrants exercisable for, or Units that may be settled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or Units that may be settled for, Preferred Stock) will be in an amount that is not less than the par value of the Preferred Stock. We have also assumed that any Debt Securities or Warrants offered under the Registration Statement, and the related Indenture and the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or upon settlement of any Units, such convertible Debt Securities or Warrants or Units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51" w:lineRule="exact"/>
        <w:rPr>
          <w:sz w:val="20"/>
          <w:szCs w:val="20"/>
          <w:color w:val="auto"/>
        </w:rPr>
      </w:pPr>
    </w:p>
    <w:p>
      <w:pPr>
        <w:ind w:left="240" w:right="379"/>
        <w:spacing w:after="0" w:line="255" w:lineRule="auto"/>
        <w:rPr>
          <w:sz w:val="20"/>
          <w:szCs w:val="20"/>
          <w:color w:val="auto"/>
        </w:rPr>
      </w:pPr>
      <w:r>
        <w:rPr>
          <w:rFonts w:ascii="Times New Roman" w:cs="Times New Roman" w:eastAsia="Times New Roman" w:hAnsi="Times New Roman"/>
          <w:sz w:val="14"/>
          <w:szCs w:val="14"/>
          <w:color w:val="auto"/>
        </w:rPr>
        <w:t>With respect to the Placement Shares, we have assumed (i) that each sale of the Placement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and (ii) that no more than 50,000,000 Placement Shares will be sold for a consideration not less than the par value of the Common Stock. With respect to the Placement Shares, we express no opinion to the extent that future issuances of securities of the Company, anti-dilution adjustments to outstanding securities of the Company or other matters cause the number of shares of Common Stock issuable under the Sales Agreement to exceed the number of shares available for issuance by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55 Hudson Yards New York, NY 10001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(212) 479-6000 f: (212) 479-6275 cooley.com</w:t>
      </w:r>
    </w:p>
    <w:p>
      <w:pPr>
        <w:sectPr>
          <w:pgSz w:w="11900" w:h="16838" w:orient="portrait"/>
          <w:cols w:equalWidth="0" w:num="1">
            <w:col w:w="9019"/>
          </w:cols>
          <w:pgMar w:left="1440" w:top="878" w:right="1440" w:bottom="1440" w:gutter="0" w:footer="0" w:header="0"/>
        </w:sectPr>
      </w:pPr>
    </w:p>
    <w:bookmarkStart w:id="188" w:name="page189"/>
    <w:bookmarkEnd w:id="188"/>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161925</wp:posOffset>
            </wp:positionV>
            <wp:extent cx="916305" cy="298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916305" cy="298450"/>
                    </a:xfrm>
                    <a:prstGeom prst="rect">
                      <a:avLst/>
                    </a:prstGeom>
                    <a:noFill/>
                  </pic:spPr>
                </pic:pic>
              </a:graphicData>
            </a:graphic>
          </wp:anchor>
        </w:drawing>
        <w:t>Page Three</w:t>
      </w:r>
    </w:p>
    <w:p>
      <w:pPr>
        <w:spacing w:after="0" w:line="194" w:lineRule="exact"/>
        <w:rPr>
          <w:sz w:val="20"/>
          <w:szCs w:val="20"/>
          <w:color w:val="auto"/>
        </w:rPr>
      </w:pPr>
    </w:p>
    <w:p>
      <w:pPr>
        <w:ind w:left="240" w:right="259"/>
        <w:spacing w:after="0" w:line="259"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DGCL and, as to the Debt Securities, the Warrants and the Units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qualifications herein stated, we are of the opinion that:</w:t>
      </w:r>
    </w:p>
    <w:p>
      <w:pPr>
        <w:spacing w:after="0" w:line="90" w:lineRule="exact"/>
        <w:rPr>
          <w:sz w:val="20"/>
          <w:szCs w:val="20"/>
          <w:color w:val="auto"/>
        </w:rPr>
      </w:pPr>
    </w:p>
    <w:p>
      <w:pPr>
        <w:ind w:left="240" w:right="259" w:hanging="2"/>
        <w:spacing w:after="0" w:line="252" w:lineRule="auto"/>
        <w:tabs>
          <w:tab w:leader="none" w:pos="379"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Times New Roman" w:cs="Times New Roman" w:eastAsia="Times New Roman" w:hAnsi="Times New Roman"/>
          <w:sz w:val="14"/>
          <w:szCs w:val="14"/>
          <w:b w:val="1"/>
          <w:bCs w:val="1"/>
          <w:i w:val="1"/>
          <w:iCs w:val="1"/>
          <w:color w:val="auto"/>
        </w:rPr>
        <w:t>Certificate of Incorporation</w:t>
      </w:r>
      <w:r>
        <w:rPr>
          <w:rFonts w:ascii="Times New Roman" w:cs="Times New Roman" w:eastAsia="Times New Roman" w:hAnsi="Times New Roman"/>
          <w:sz w:val="14"/>
          <w:szCs w:val="14"/>
          <w:color w:val="auto"/>
        </w:rPr>
        <w:t>”) and bylaws (the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or upon settlement of any Units in accordance with their terms, will be validly issued, fully paid and nonassessable.</w:t>
      </w:r>
    </w:p>
    <w:p>
      <w:pPr>
        <w:spacing w:after="0" w:line="146" w:lineRule="exact"/>
        <w:rPr>
          <w:rFonts w:ascii="Times New Roman" w:cs="Times New Roman" w:eastAsia="Times New Roman" w:hAnsi="Times New Roman"/>
          <w:sz w:val="14"/>
          <w:szCs w:val="14"/>
          <w:b w:val="1"/>
          <w:bCs w:val="1"/>
          <w:color w:val="auto"/>
        </w:rPr>
      </w:pPr>
    </w:p>
    <w:p>
      <w:pPr>
        <w:ind w:left="240" w:right="279" w:hanging="2"/>
        <w:spacing w:after="0" w:line="252" w:lineRule="auto"/>
        <w:tabs>
          <w:tab w:leader="none" w:pos="379"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the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or upon settlement of any Units in accordance with their terms, will be validly issued, fully paid and nonassessable.</w:t>
      </w:r>
    </w:p>
    <w:p>
      <w:pPr>
        <w:spacing w:after="0" w:line="147" w:lineRule="exact"/>
        <w:rPr>
          <w:rFonts w:ascii="Times New Roman" w:cs="Times New Roman" w:eastAsia="Times New Roman" w:hAnsi="Times New Roman"/>
          <w:sz w:val="14"/>
          <w:szCs w:val="14"/>
          <w:b w:val="1"/>
          <w:bCs w:val="1"/>
          <w:color w:val="auto"/>
        </w:rPr>
      </w:pPr>
    </w:p>
    <w:p>
      <w:pPr>
        <w:ind w:left="240" w:right="339" w:hanging="2"/>
        <w:spacing w:after="0" w:line="257" w:lineRule="auto"/>
        <w:tabs>
          <w:tab w:leader="none" w:pos="379"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any series of the Debt Securities issued under either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55 Hudson Yards New York, NY 10001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(212) 479-6000 f: (212) 479-6275 cooley.com</w:t>
      </w:r>
    </w:p>
    <w:p>
      <w:pPr>
        <w:sectPr>
          <w:pgSz w:w="11900" w:h="16838" w:orient="portrait"/>
          <w:cols w:equalWidth="0" w:num="1">
            <w:col w:w="9019"/>
          </w:cols>
          <w:pgMar w:left="1440" w:top="878" w:right="1440" w:bottom="1440" w:gutter="0" w:footer="0" w:header="0"/>
        </w:sectPr>
      </w:pPr>
    </w:p>
    <w:bookmarkStart w:id="189" w:name="page190"/>
    <w:bookmarkEnd w:id="189"/>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161925</wp:posOffset>
            </wp:positionV>
            <wp:extent cx="916305" cy="298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916305" cy="298450"/>
                    </a:xfrm>
                    <a:prstGeom prst="rect">
                      <a:avLst/>
                    </a:prstGeom>
                    <a:noFill/>
                  </pic:spPr>
                </pic:pic>
              </a:graphicData>
            </a:graphic>
          </wp:anchor>
        </w:drawing>
        <w:t>Page Four</w:t>
      </w:r>
    </w:p>
    <w:p>
      <w:pPr>
        <w:spacing w:after="0" w:line="194" w:lineRule="exact"/>
        <w:rPr>
          <w:sz w:val="20"/>
          <w:szCs w:val="20"/>
          <w:color w:val="auto"/>
        </w:rPr>
      </w:pPr>
    </w:p>
    <w:p>
      <w:pPr>
        <w:ind w:left="240" w:right="279"/>
        <w:spacing w:after="0" w:line="252" w:lineRule="auto"/>
        <w:rPr>
          <w:sz w:val="20"/>
          <w:szCs w:val="20"/>
          <w:color w:val="auto"/>
        </w:rPr>
      </w:pPr>
      <w:r>
        <w:rPr>
          <w:rFonts w:ascii="Times New Roman" w:cs="Times New Roman" w:eastAsia="Times New Roman" w:hAnsi="Times New Roman"/>
          <w:sz w:val="14"/>
          <w:szCs w:val="14"/>
          <w:color w:val="auto"/>
        </w:rPr>
        <w:t>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or upon settlement of any Units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8" w:lineRule="exact"/>
        <w:rPr>
          <w:sz w:val="20"/>
          <w:szCs w:val="20"/>
          <w:color w:val="auto"/>
        </w:rPr>
      </w:pPr>
    </w:p>
    <w:p>
      <w:pPr>
        <w:ind w:left="240" w:right="279" w:hanging="2"/>
        <w:spacing w:after="0" w:line="251" w:lineRule="auto"/>
        <w:tabs>
          <w:tab w:leader="none" w:pos="379"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or upon settlement of any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50" w:lineRule="exact"/>
        <w:rPr>
          <w:rFonts w:ascii="Times New Roman" w:cs="Times New Roman" w:eastAsia="Times New Roman" w:hAnsi="Times New Roman"/>
          <w:sz w:val="14"/>
          <w:szCs w:val="14"/>
          <w:b w:val="1"/>
          <w:bCs w:val="1"/>
          <w:color w:val="auto"/>
        </w:rPr>
      </w:pPr>
    </w:p>
    <w:p>
      <w:pPr>
        <w:ind w:left="240" w:right="299" w:hanging="2"/>
        <w:spacing w:after="0" w:line="253" w:lineRule="auto"/>
        <w:tabs>
          <w:tab w:leader="none" w:pos="379"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Units offered under the Registration Statement, provided that (a) the Registration Statement and any required post-effective amendment thereto have all become effective under the Securities Act and the Base Prospectus and any and all Prospectus Supplement(s) required by applicable laws have been delivered as required by such laws; (b) the Units and any related Unit Agreement have been duly authorized by the Company by all necessary corporate action; (c) any related Unit Agreement has been duly executed by the Company and each other party thereto, (d) the terms of the Units and any related Unit Agreement have been duly established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or the Bylaws, and so as to comply with any applicable requirement or restriction imposed by any court or governmental body having jurisdiction over the Company; and (e) to the extent applicable, the Units have been duly executed and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55 Hudson Yards New York, NY 10001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(212) 479-6000 f: (212) 479-6275 cooley.com</w:t>
      </w:r>
    </w:p>
    <w:p>
      <w:pPr>
        <w:sectPr>
          <w:pgSz w:w="11900" w:h="16838" w:orient="portrait"/>
          <w:cols w:equalWidth="0" w:num="1">
            <w:col w:w="9019"/>
          </w:cols>
          <w:pgMar w:left="1440" w:top="877" w:right="1440" w:bottom="1440" w:gutter="0" w:footer="0" w:header="0"/>
        </w:sectPr>
      </w:pPr>
    </w:p>
    <w:bookmarkStart w:id="190" w:name="page191"/>
    <w:bookmarkEnd w:id="190"/>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161925</wp:posOffset>
            </wp:positionV>
            <wp:extent cx="916305" cy="298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916305" cy="298450"/>
                    </a:xfrm>
                    <a:prstGeom prst="rect">
                      <a:avLst/>
                    </a:prstGeom>
                    <a:noFill/>
                  </pic:spPr>
                </pic:pic>
              </a:graphicData>
            </a:graphic>
          </wp:anchor>
        </w:drawing>
        <w:t>Page Five</w:t>
      </w:r>
    </w:p>
    <w:p>
      <w:pPr>
        <w:spacing w:after="0" w:line="194" w:lineRule="exact"/>
        <w:rPr>
          <w:sz w:val="20"/>
          <w:szCs w:val="20"/>
          <w:color w:val="auto"/>
        </w:rPr>
      </w:pPr>
    </w:p>
    <w:p>
      <w:pPr>
        <w:ind w:left="240" w:right="279"/>
        <w:spacing w:after="0" w:line="259" w:lineRule="auto"/>
        <w:rPr>
          <w:sz w:val="20"/>
          <w:szCs w:val="20"/>
          <w:color w:val="auto"/>
        </w:rPr>
      </w:pPr>
      <w:r>
        <w:rPr>
          <w:rFonts w:ascii="Times New Roman" w:cs="Times New Roman" w:eastAsia="Times New Roman" w:hAnsi="Times New Roman"/>
          <w:sz w:val="14"/>
          <w:szCs w:val="14"/>
          <w:color w:val="auto"/>
        </w:rPr>
        <w:t>delivered by the Company to the purchasers thereof against payment therefor pursuant to any related Unit Agreement, then the Units, when issued and sold in accordance with any applicable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1" w:lineRule="exact"/>
        <w:rPr>
          <w:sz w:val="20"/>
          <w:szCs w:val="20"/>
          <w:color w:val="auto"/>
        </w:rPr>
      </w:pPr>
    </w:p>
    <w:p>
      <w:pPr>
        <w:ind w:left="240" w:right="459" w:hanging="2"/>
        <w:spacing w:after="0" w:line="280" w:lineRule="auto"/>
        <w:tabs>
          <w:tab w:leader="none" w:pos="37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Shares, when sold and issued against payment therefor in accordance with the Sales Agreement, the Registration Statement and the Sales Agreement Prospectus, will be validly issued, fully paid and nonassessable.</w:t>
      </w:r>
    </w:p>
    <w:p>
      <w:pPr>
        <w:spacing w:after="0" w:line="126" w:lineRule="exact"/>
        <w:rPr>
          <w:sz w:val="20"/>
          <w:szCs w:val="20"/>
          <w:color w:val="auto"/>
        </w:rPr>
      </w:pPr>
    </w:p>
    <w:p>
      <w:pPr>
        <w:ind w:left="240" w:right="379"/>
        <w:spacing w:after="0" w:line="259" w:lineRule="auto"/>
        <w:rPr>
          <w:sz w:val="20"/>
          <w:szCs w:val="20"/>
          <w:color w:val="auto"/>
        </w:rPr>
      </w:pPr>
      <w:r>
        <w:rPr>
          <w:rFonts w:ascii="Times New Roman" w:cs="Times New Roman" w:eastAsia="Times New Roman" w:hAnsi="Times New Roman"/>
          <w:sz w:val="14"/>
          <w:szCs w:val="14"/>
          <w:color w:val="auto"/>
        </w:rPr>
        <w:t>Our opinion set forth above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41" w:lineRule="exact"/>
        <w:rPr>
          <w:sz w:val="20"/>
          <w:szCs w:val="20"/>
          <w:color w:val="auto"/>
        </w:rPr>
      </w:pPr>
    </w:p>
    <w:p>
      <w:pPr>
        <w:ind w:left="240" w:right="379"/>
        <w:spacing w:after="0" w:line="257"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Cooley LLP</w:t>
      </w:r>
    </w:p>
    <w:p>
      <w:pPr>
        <w:spacing w:after="0" w:line="174" w:lineRule="exact"/>
        <w:rPr>
          <w:sz w:val="20"/>
          <w:szCs w:val="20"/>
          <w:color w:val="auto"/>
        </w:rPr>
      </w:pPr>
    </w:p>
    <w:p>
      <w:pPr>
        <w:jc w:val="right"/>
        <w:ind w:right="7499"/>
        <w:spacing w:after="0"/>
        <w:rPr>
          <w:sz w:val="20"/>
          <w:szCs w:val="20"/>
          <w:color w:val="auto"/>
        </w:rPr>
      </w:pPr>
      <w:r>
        <w:rPr>
          <w:rFonts w:ascii="Times New Roman" w:cs="Times New Roman" w:eastAsia="Times New Roman" w:hAnsi="Times New Roman"/>
          <w:sz w:val="14"/>
          <w:szCs w:val="14"/>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13335</wp:posOffset>
            </wp:positionV>
            <wp:extent cx="201168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 w:lineRule="exact"/>
        <w:rPr>
          <w:sz w:val="20"/>
          <w:szCs w:val="20"/>
          <w:color w:val="auto"/>
        </w:rPr>
      </w:pPr>
    </w:p>
    <w:p>
      <w:pPr>
        <w:jc w:val="right"/>
        <w:ind w:right="7539"/>
        <w:spacing w:after="0"/>
        <w:rPr>
          <w:sz w:val="20"/>
          <w:szCs w:val="20"/>
          <w:color w:val="auto"/>
        </w:rPr>
      </w:pPr>
      <w:r>
        <w:rPr>
          <w:rFonts w:ascii="Times New Roman" w:cs="Times New Roman" w:eastAsia="Times New Roman" w:hAnsi="Times New Roman"/>
          <w:sz w:val="14"/>
          <w:szCs w:val="14"/>
          <w:color w:val="auto"/>
        </w:rPr>
        <w:t>    Divakar Gupta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55 Hudson Yards New York, NY 10001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(212) 479-6000 f: (212) 479-6275 cooley.com</w:t>
      </w:r>
    </w:p>
    <w:p>
      <w:pPr>
        <w:sectPr>
          <w:pgSz w:w="11900" w:h="16838" w:orient="portrait"/>
          <w:cols w:equalWidth="0" w:num="1">
            <w:col w:w="9019"/>
          </w:cols>
          <w:pgMar w:left="1440" w:top="877" w:right="1440" w:bottom="1440" w:gutter="0" w:footer="0" w:header="0"/>
        </w:sectPr>
      </w:pPr>
    </w:p>
    <w:bookmarkStart w:id="191" w:name="page192"/>
    <w:bookmarkEnd w:id="191"/>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6" w:lineRule="exact"/>
        <w:rPr>
          <w:sz w:val="20"/>
          <w:szCs w:val="20"/>
          <w:color w:val="auto"/>
        </w:rPr>
      </w:pPr>
    </w:p>
    <w:p>
      <w:pPr>
        <w:ind w:left="240" w:right="259"/>
        <w:spacing w:after="0" w:line="321" w:lineRule="auto"/>
        <w:rPr>
          <w:sz w:val="20"/>
          <w:szCs w:val="20"/>
          <w:color w:val="auto"/>
        </w:rPr>
      </w:pPr>
      <w:r>
        <w:rPr>
          <w:rFonts w:ascii="Times New Roman" w:cs="Times New Roman" w:eastAsia="Times New Roman" w:hAnsi="Times New Roman"/>
          <w:sz w:val="13"/>
          <w:szCs w:val="13"/>
          <w:color w:val="auto"/>
        </w:rPr>
        <w:t>We consent to the use of our report dated March 30, 2026, with respect to the consolidated financial statements of Annexon, Inc. and subsidiary, incorporated herein by reference, and to the reference to our firm under the heading “Experts” in the base prospectus and the sales agreement prospectus.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March 30, 2026</w:t>
      </w:r>
    </w:p>
    <w:p>
      <w:pPr>
        <w:sectPr>
          <w:pgSz w:w="11900" w:h="16838" w:orient="portrait"/>
          <w:cols w:equalWidth="0" w:num="1">
            <w:col w:w="9019"/>
          </w:cols>
          <w:pgMar w:left="1440" w:top="123" w:right="1440" w:bottom="1440" w:gutter="0" w:footer="0" w:header="0"/>
        </w:sectPr>
      </w:pPr>
    </w:p>
    <w:bookmarkStart w:id="192" w:name="page193"/>
    <w:bookmarkEnd w:id="192"/>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6"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Annexon,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1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$ 20,715.00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150,000,000.00</w:t>
            </w:r>
          </w:p>
        </w:tc>
        <w:tc>
          <w:tcPr>
            <w:tcW w:w="4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par value</w:t>
            </w: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6"/>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$ 20,715.00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150,000,000.00</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$ 20,715.00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8" w:lineRule="exact"/>
        <w:rPr>
          <w:sz w:val="20"/>
          <w:szCs w:val="20"/>
          <w:color w:val="auto"/>
        </w:rPr>
      </w:pPr>
    </w:p>
    <w:p>
      <w:pPr>
        <w:ind w:left="220" w:right="120" w:hanging="185"/>
        <w:spacing w:after="0" w:line="230" w:lineRule="auto"/>
        <w:tabs>
          <w:tab w:leader="none" w:pos="220" w:val="left"/>
        </w:tabs>
        <w:numPr>
          <w:ilvl w:val="0"/>
          <w:numId w:val="138"/>
        </w:numPr>
        <w:rPr>
          <w:rFonts w:ascii="Arial" w:cs="Arial" w:eastAsia="Arial" w:hAnsi="Arial"/>
          <w:sz w:val="21"/>
          <w:szCs w:val="21"/>
          <w:color w:val="auto"/>
          <w:vertAlign w:val="superscript"/>
        </w:rPr>
      </w:pPr>
      <w:r>
        <w:rPr>
          <w:rFonts w:ascii="Arial" w:cs="Arial" w:eastAsia="Arial" w:hAnsi="Arial"/>
          <w:sz w:val="17"/>
          <w:szCs w:val="17"/>
          <w:color w:val="auto"/>
        </w:rPr>
        <w:t>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may be sold from time to time by the Registrant. The securities registered hereunder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unit and maximum aggregate offering prices per class of securities will be determined from time to time by the Registrant in connection with the issuance by the Registrant of the securities registered hereunder and is not specified as to each class of security pursuant to Instruction 2.A.iii.c. to the Calculation of Filing Fee Tables and Related Disclosure on Item 16(b) of Form S-3 under the Securities Act. Separate consideration may or may not be received for securities that are issuable on exercise, conversion or exchange of other securities. The Registrant is relying on Rules 456(b) and 457(r) under the Securities Act, to defer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830"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21" w:lineRule="exact"/>
        <w:rPr>
          <w:sz w:val="20"/>
          <w:szCs w:val="20"/>
          <w:color w:val="auto"/>
        </w:rPr>
      </w:pPr>
    </w:p>
    <w:p>
      <w:pPr>
        <w:ind w:left="220" w:right="140" w:hanging="185"/>
        <w:spacing w:after="0" w:line="244" w:lineRule="auto"/>
        <w:tabs>
          <w:tab w:leader="none" w:pos="220" w:val="left"/>
        </w:tabs>
        <w:numPr>
          <w:ilvl w:val="0"/>
          <w:numId w:val="139"/>
        </w:numPr>
        <w:rPr>
          <w:rFonts w:ascii="Arial" w:cs="Arial" w:eastAsia="Arial" w:hAnsi="Arial"/>
          <w:sz w:val="20"/>
          <w:szCs w:val="20"/>
          <w:color w:val="auto"/>
          <w:vertAlign w:val="superscript"/>
        </w:rPr>
      </w:pPr>
      <w:r>
        <w:rPr>
          <w:rFonts w:ascii="Arial" w:cs="Arial" w:eastAsia="Arial" w:hAnsi="Arial"/>
          <w:sz w:val="16"/>
          <w:szCs w:val="16"/>
          <w:color w:val="auto"/>
        </w:rPr>
        <w:t>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may be sold from time to time by the Registrant. The securities registered hereunder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unit and maximum aggregate offering prices per class of securities will be determined from time to time by the Registrant in connection with the issuance by the Registrant of the securities registered hereunder and is not specified as to each class of security pursuant to Instruction 2.A.iii.c. to the Calculation of Filing Fee Tables and Related Disclosure on Item 16(b) of Form S-3 under the Securities Act. Separate consideration may or may not be received for securities that are issuable on exercise, conversion or exchange of other securities. The Registrant is relying on Rules 456(b) and 457(r) under the Securities Act, to defer payment of the entire registration fee. In connection with the securities offered hereby, the Registrant will pay "pay-as-you-go registration fees" in accordance with Rule 456(b) under the Securities Act.</w:t>
      </w:r>
    </w:p>
    <w:p>
      <w:pPr>
        <w:sectPr>
          <w:pgSz w:w="11900" w:h="16838" w:orient="portrait"/>
          <w:cols w:equalWidth="0" w:num="1">
            <w:col w:w="11360"/>
          </w:cols>
          <w:pgMar w:left="300" w:top="142" w:right="239" w:bottom="0" w:gutter="0" w:footer="0" w:header="0"/>
        </w:sectPr>
      </w:pPr>
    </w:p>
    <w:bookmarkStart w:id="193" w:name="page194"/>
    <w:bookmarkEnd w:id="193"/>
    <w:p>
      <w:pPr>
        <w:ind w:left="220" w:right="360"/>
        <w:spacing w:after="0" w:line="261" w:lineRule="auto"/>
        <w:rPr>
          <w:sz w:val="20"/>
          <w:szCs w:val="20"/>
          <w:color w:val="auto"/>
        </w:rPr>
      </w:pPr>
      <w:r>
        <w:rPr>
          <w:rFonts w:ascii="Arial" w:cs="Arial" w:eastAsia="Arial" w:hAnsi="Arial"/>
          <w:sz w:val="17"/>
          <w:szCs w:val="17"/>
          <w:color w:val="auto"/>
        </w:rPr>
        <w:t>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48895</wp:posOffset>
            </wp:positionV>
            <wp:extent cx="7148830"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2" w:lineRule="exact"/>
        <w:rPr>
          <w:sz w:val="20"/>
          <w:szCs w:val="20"/>
          <w:color w:val="auto"/>
        </w:rPr>
      </w:pPr>
    </w:p>
    <w:p>
      <w:pPr>
        <w:ind w:left="220" w:right="60" w:hanging="185"/>
        <w:spacing w:after="0" w:line="230" w:lineRule="auto"/>
        <w:tabs>
          <w:tab w:leader="none" w:pos="220" w:val="left"/>
        </w:tabs>
        <w:numPr>
          <w:ilvl w:val="0"/>
          <w:numId w:val="140"/>
        </w:numPr>
        <w:rPr>
          <w:rFonts w:ascii="Arial" w:cs="Arial" w:eastAsia="Arial" w:hAnsi="Arial"/>
          <w:sz w:val="21"/>
          <w:szCs w:val="21"/>
          <w:color w:val="auto"/>
          <w:vertAlign w:val="superscript"/>
        </w:rPr>
      </w:pPr>
      <w:r>
        <w:rPr>
          <w:rFonts w:ascii="Arial" w:cs="Arial" w:eastAsia="Arial" w:hAnsi="Arial"/>
          <w:sz w:val="17"/>
          <w:szCs w:val="17"/>
          <w:color w:val="auto"/>
        </w:rPr>
        <w:t>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may be sold from time to time by the Registrant. The securities registered hereunder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unit and maximum aggregate offering prices per class of securities will be determined from time to time by the Registrant in connection with the issuance by the Registrant of the securities registered hereunder and is not specified as to each class of security pursuant to Instruction 2.A.iii.c. to the Calculation of Filing Fee Tables and Related Disclosure on Item 16(b) of Form S-3 under the Securities Act. Separate consideration may or may not be received for securities that are issuable on exercise, conversion or exchange of other securities. The Registrant is relying on Rules 456(b) and 457(r) under the Securities Act, to defer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830"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21" w:lineRule="exact"/>
        <w:rPr>
          <w:sz w:val="20"/>
          <w:szCs w:val="20"/>
          <w:color w:val="auto"/>
        </w:rPr>
      </w:pPr>
    </w:p>
    <w:p>
      <w:pPr>
        <w:ind w:left="220" w:right="60" w:hanging="185"/>
        <w:spacing w:after="0" w:line="230" w:lineRule="auto"/>
        <w:tabs>
          <w:tab w:leader="none" w:pos="220" w:val="left"/>
        </w:tabs>
        <w:numPr>
          <w:ilvl w:val="0"/>
          <w:numId w:val="141"/>
        </w:numPr>
        <w:rPr>
          <w:rFonts w:ascii="Arial" w:cs="Arial" w:eastAsia="Arial" w:hAnsi="Arial"/>
          <w:sz w:val="21"/>
          <w:szCs w:val="21"/>
          <w:color w:val="auto"/>
          <w:vertAlign w:val="superscript"/>
        </w:rPr>
      </w:pPr>
      <w:r>
        <w:rPr>
          <w:rFonts w:ascii="Arial" w:cs="Arial" w:eastAsia="Arial" w:hAnsi="Arial"/>
          <w:sz w:val="17"/>
          <w:szCs w:val="17"/>
          <w:color w:val="auto"/>
        </w:rPr>
        <w:t>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may be sold from time to time by the Registrant. The securities registered hereunder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unit and maximum aggregate offering prices per class of securities will be determined from time to time by the Registrant in connection with the issuance by the Registrant of the securities registered hereunder and is not specified as to each class of security pursuant to Instruction 2.A.iii.c. to the Calculation of Filing Fee Tables and Related Disclosure on Item 16(b) of Form S-3 under the Securities Act. Separate consideration may or may not be received for securities that are issuable on exercise, conversion or exchange of other securities. The Registrant is relying on Rules 456(b) and 457(r) under the Securities Act, to defer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830"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lef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80" w:type="dxa"/>
            <w:vAlign w:val="bottom"/>
            <w:shd w:val="clear" w:color="auto" w:fill="9ADAF6"/>
          </w:tcPr>
          <w:p>
            <w:pPr>
              <w:jc w:val="center"/>
              <w:ind w:right="216"/>
              <w:spacing w:after="0" w:line="16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40" w:type="dxa"/>
            <w:vAlign w:val="bottom"/>
          </w:tcPr>
          <w:p>
            <w:pPr>
              <w:spacing w:after="0"/>
              <w:rPr>
                <w:sz w:val="14"/>
                <w:szCs w:val="14"/>
                <w:color w:val="auto"/>
              </w:rPr>
            </w:pPr>
          </w:p>
        </w:tc>
        <w:tc>
          <w:tcPr>
            <w:tcW w:w="96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3"/>
          </w:tcPr>
          <w:p>
            <w:pPr>
              <w:ind w:left="56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96"/>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40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1)"/>
      <w:numFmt w:val="decimal"/>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1)"/>
      <w:numFmt w:val="decimal"/>
      <w:start w:val="1"/>
    </w:lvl>
    <w:lvl w:ilvl="1">
      <w:lvlJc w:val="left"/>
      <w:lvlText w:val="(%2)"/>
      <w:numFmt w:val="lowerRoman"/>
      <w:start w:val="1"/>
    </w:lvl>
  </w:abstractNum>
  <w:abstractNum w:abstractNumId="47">
    <w:nsid w:val="26F324BA"/>
    <w:multiLevelType w:val="hybridMultilevel"/>
    <w:lvl w:ilvl="0">
      <w:lvlJc w:val="left"/>
      <w:lvlText w:val="(%1)"/>
      <w:numFmt w:val="decimal"/>
      <w:start w:val="2"/>
    </w:lvl>
    <w:lvl w:ilvl="1">
      <w:lvlJc w:val="left"/>
      <w:lvlText w:val="(%2)"/>
      <w:numFmt w:val="lowerRoman"/>
      <w:start w:val="1"/>
    </w:lvl>
  </w:abstractNum>
  <w:abstractNum w:abstractNumId="48">
    <w:nsid w:val="7F01579B"/>
    <w:multiLevelType w:val="hybridMultilevel"/>
    <w:lvl w:ilvl="0">
      <w:lvlJc w:val="left"/>
      <w:lvlText w:val="(%1)"/>
      <w:numFmt w:val="decimal"/>
      <w:start w:val="7"/>
    </w:lvl>
  </w:abstractNum>
  <w:abstractNum w:abstractNumId="49">
    <w:nsid w:val="49DA307D"/>
    <w:multiLevelType w:val="hybridMultilevel"/>
    <w:lvl w:ilvl="0">
      <w:lvlJc w:val="left"/>
      <w:lvlText w:val="(%1)"/>
      <w:numFmt w:val="lowerLetter"/>
      <w:start w:val="1"/>
    </w:lvl>
    <w:lvl w:ilvl="1">
      <w:lvlJc w:val="left"/>
      <w:lvlText w:val="(%2)"/>
      <w:numFmt w:val="decimal"/>
      <w:start w:val="1"/>
    </w:lvl>
  </w:abstractNum>
  <w:abstractNum w:abstractNumId="50">
    <w:nsid w:val="7055A5F5"/>
    <w:multiLevelType w:val="hybridMultilevel"/>
    <w:lvl w:ilvl="0">
      <w:lvlJc w:val="left"/>
      <w:lvlText w:val="(%1)"/>
      <w:numFmt w:val="decimal"/>
      <w:start w:val="3"/>
    </w:lvl>
  </w:abstractNum>
  <w:abstractNum w:abstractNumId="51">
    <w:nsid w:val="5FB8370B"/>
    <w:multiLevelType w:val="hybridMultilevel"/>
    <w:lvl w:ilvl="0">
      <w:lvlJc w:val="left"/>
      <w:lvlText w:val="(%1)"/>
      <w:numFmt w:val="decimal"/>
      <w:start w:val="15"/>
    </w:lvl>
  </w:abstractNum>
  <w:abstractNum w:abstractNumId="52">
    <w:nsid w:val="50801EE1"/>
    <w:multiLevelType w:val="hybridMultilevel"/>
    <w:lvl w:ilvl="0">
      <w:lvlJc w:val="left"/>
      <w:lvlText w:val="(%1)"/>
      <w:numFmt w:val="decimal"/>
      <w:start w:val="26"/>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lowerLetter"/>
      <w:start w:val="1"/>
    </w:lvl>
  </w:abstractNum>
  <w:abstractNum w:abstractNumId="55">
    <w:nsid w:val="6AA78F7F"/>
    <w:multiLevelType w:val="hybridMultilevel"/>
    <w:lvl w:ilvl="0">
      <w:lvlJc w:val="left"/>
      <w:lvlText w:val="(%1)"/>
      <w:numFmt w:val="lowerLetter"/>
      <w:start w:val="3"/>
    </w:lvl>
  </w:abstractNum>
  <w:abstractNum w:abstractNumId="56">
    <w:nsid w:val="7672BD23"/>
    <w:multiLevelType w:val="hybridMultilevel"/>
    <w:lvl w:ilvl="0">
      <w:lvlJc w:val="left"/>
      <w:lvlText w:val="(%1)"/>
      <w:numFmt w:val="lowerLetter"/>
      <w:start w:val="1"/>
    </w:lvl>
  </w:abstractNum>
  <w:abstractNum w:abstractNumId="57">
    <w:nsid w:val="6FC75AF8"/>
    <w:multiLevelType w:val="hybridMultilevel"/>
    <w:lvl w:ilvl="0">
      <w:lvlJc w:val="left"/>
      <w:lvlText w:val="(%1)"/>
      <w:numFmt w:val="lowerLetter"/>
      <w:start w:val="3"/>
    </w:lvl>
  </w:abstractNum>
  <w:abstractNum w:abstractNumId="58">
    <w:nsid w:val="6A5F7029"/>
    <w:multiLevelType w:val="hybridMultilevel"/>
    <w:lvl w:ilvl="0">
      <w:lvlJc w:val="left"/>
      <w:lvlText w:val="(%1)"/>
      <w:numFmt w:val="lowerLetter"/>
      <w:start w:val="1"/>
    </w:lvl>
  </w:abstractNum>
  <w:abstractNum w:abstractNumId="59">
    <w:nsid w:val="7D5E18F8"/>
    <w:multiLevelType w:val="hybridMultilevel"/>
    <w:lvl w:ilvl="0">
      <w:lvlJc w:val="left"/>
      <w:lvlText w:val="(%1)"/>
      <w:numFmt w:val="lowerLetter"/>
      <w:start w:val="2"/>
    </w:lvl>
  </w:abstractNum>
  <w:abstractNum w:abstractNumId="60">
    <w:nsid w:val="5F3534A4"/>
    <w:multiLevelType w:val="hybridMultilevel"/>
    <w:lvl w:ilvl="0">
      <w:lvlJc w:val="left"/>
      <w:lvlText w:val="(%1)"/>
      <w:numFmt w:val="lowerLetter"/>
      <w:start w:val="1"/>
    </w:lvl>
  </w:abstractNum>
  <w:abstractNum w:abstractNumId="61">
    <w:nsid w:val="73A1821B"/>
    <w:multiLevelType w:val="hybridMultilevel"/>
    <w:lvl w:ilvl="0">
      <w:lvlJc w:val="left"/>
      <w:lvlText w:val="(%1)"/>
      <w:numFmt w:val="lowerLetter"/>
      <w:start w:val="1"/>
    </w:lvl>
    <w:lvl w:ilvl="1">
      <w:lvlJc w:val="left"/>
      <w:lvlText w:val="(%2)"/>
      <w:numFmt w:val="decimal"/>
      <w:start w:val="1"/>
    </w:lvl>
  </w:abstractNum>
  <w:abstractNum w:abstractNumId="62">
    <w:nsid w:val="7DE67713"/>
    <w:multiLevelType w:val="hybridMultilevel"/>
    <w:lvl w:ilvl="0">
      <w:lvlJc w:val="left"/>
      <w:lvlText w:val="(%1)"/>
      <w:numFmt w:val="decimal"/>
      <w:start w:val="4"/>
    </w:lvl>
  </w:abstractNum>
  <w:abstractNum w:abstractNumId="63">
    <w:nsid w:val="555C55B5"/>
    <w:multiLevelType w:val="hybridMultilevel"/>
    <w:lvl w:ilvl="0">
      <w:lvlJc w:val="left"/>
      <w:lvlText w:val="(%1)"/>
      <w:numFmt w:val="lowerLetter"/>
      <w:start w:val="2"/>
    </w:lvl>
  </w:abstractNum>
  <w:abstractNum w:abstractNumId="64">
    <w:nsid w:val="3FA62ACA"/>
    <w:multiLevelType w:val="hybridMultilevel"/>
    <w:lvl w:ilvl="0">
      <w:lvlJc w:val="left"/>
      <w:lvlText w:val="(%1)"/>
      <w:numFmt w:val="lowerLetter"/>
      <w:start w:val="1"/>
    </w:lvl>
  </w:abstractNum>
  <w:abstractNum w:abstractNumId="65">
    <w:nsid w:val="14FCE74E"/>
    <w:multiLevelType w:val="hybridMultilevel"/>
    <w:lvl w:ilvl="0">
      <w:lvlJc w:val="left"/>
      <w:lvlText w:val="(%1)"/>
      <w:numFmt w:val="lowerLetter"/>
      <w:start w:val="1"/>
    </w:lvl>
  </w:abstractNum>
  <w:abstractNum w:abstractNumId="66">
    <w:nsid w:val="6A3DD3E8"/>
    <w:multiLevelType w:val="hybridMultilevel"/>
    <w:lvl w:ilvl="0">
      <w:lvlJc w:val="left"/>
      <w:lvlText w:val="(%1)"/>
      <w:numFmt w:val="lowerLetter"/>
      <w:start w:val="1"/>
    </w:lvl>
  </w:abstractNum>
  <w:abstractNum w:abstractNumId="67">
    <w:nsid w:val="71C91298"/>
    <w:multiLevelType w:val="hybridMultilevel"/>
    <w:lvl w:ilvl="0">
      <w:lvlJc w:val="left"/>
      <w:lvlText w:val="(%1)"/>
      <w:numFmt w:val="lowerLetter"/>
      <w:start w:val="1"/>
    </w:lvl>
    <w:lvl w:ilvl="1">
      <w:lvlJc w:val="left"/>
      <w:lvlText w:val="(%2)"/>
      <w:numFmt w:val="decimal"/>
      <w:start w:val="1"/>
    </w:lvl>
  </w:abstractNum>
  <w:abstractNum w:abstractNumId="68">
    <w:nsid w:val="9DAF6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9">
    <w:nsid w:val="5329993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70">
    <w:nsid w:val="1FBFE8E0"/>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71">
    <w:nsid w:val="5092CA79"/>
    <w:multiLevelType w:val="hybridMultilevel"/>
    <w:lvl w:ilvl="0">
      <w:lvlJc w:val="left"/>
      <w:lvlText w:val="(%1)"/>
      <w:numFmt w:val="lowerLetter"/>
      <w:start w:val="4"/>
    </w:lvl>
  </w:abstractNum>
  <w:abstractNum w:abstractNumId="72">
    <w:nsid w:val="1D545C4D"/>
    <w:multiLevelType w:val="hybridMultilevel"/>
    <w:lvl w:ilvl="0">
      <w:lvlJc w:val="left"/>
      <w:lvlText w:val="(%1)"/>
      <w:numFmt w:val="lowerLetter"/>
      <w:start w:val="1"/>
    </w:lvl>
  </w:abstractNum>
  <w:abstractNum w:abstractNumId="73">
    <w:nsid w:val="59ADEA3D"/>
    <w:multiLevelType w:val="hybridMultilevel"/>
    <w:lvl w:ilvl="0">
      <w:lvlJc w:val="left"/>
      <w:lvlText w:val="(%1)"/>
      <w:numFmt w:val="lowerLetter"/>
      <w:start w:val="4"/>
    </w:lvl>
  </w:abstractNum>
  <w:abstractNum w:abstractNumId="74">
    <w:nsid w:val="288F1A34"/>
    <w:multiLevelType w:val="hybridMultilevel"/>
    <w:lvl w:ilvl="0">
      <w:lvlJc w:val="left"/>
      <w:lvlText w:val="(%1)"/>
      <w:numFmt w:val="lowerLetter"/>
      <w:start w:val="1"/>
    </w:lvl>
  </w:abstractNum>
  <w:abstractNum w:abstractNumId="75">
    <w:nsid w:val="2A155DBC"/>
    <w:multiLevelType w:val="hybridMultilevel"/>
    <w:lvl w:ilvl="0">
      <w:lvlJc w:val="left"/>
      <w:lvlText w:val="(%1)"/>
      <w:numFmt w:val="lowerLetter"/>
      <w:start w:val="2"/>
    </w:lvl>
  </w:abstractNum>
  <w:abstractNum w:abstractNumId="76">
    <w:nsid w:val="1D9F6E5F"/>
    <w:multiLevelType w:val="hybridMultilevel"/>
    <w:lvl w:ilvl="0">
      <w:lvlJc w:val="left"/>
      <w:lvlText w:val="(%1)"/>
      <w:numFmt w:val="lowerLetter"/>
      <w:start w:val="1"/>
    </w:lvl>
  </w:abstractNum>
  <w:abstractNum w:abstractNumId="77">
    <w:nsid w:val="97E1B4E"/>
    <w:multiLevelType w:val="hybridMultilevel"/>
    <w:lvl w:ilvl="0">
      <w:lvlJc w:val="left"/>
      <w:lvlText w:val="(%1)"/>
      <w:numFmt w:val="lowerRoman"/>
      <w:start w:val="1"/>
    </w:lvl>
    <w:lvl w:ilvl="1">
      <w:lvlJc w:val="left"/>
      <w:lvlText w:val="(%2)"/>
      <w:numFmt w:val="upperLetter"/>
      <w:start w:val="1"/>
    </w:lvl>
  </w:abstractNum>
  <w:abstractNum w:abstractNumId="78">
    <w:nsid w:val="51088277"/>
    <w:multiLevelType w:val="hybridMultilevel"/>
    <w:lvl w:ilvl="0">
      <w:lvlJc w:val="left"/>
      <w:lvlText w:val="(%1)"/>
      <w:numFmt w:val="lowerRoman"/>
      <w:start w:val="2"/>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4"/>
    </w:lvl>
  </w:abstractNum>
  <w:abstractNum w:abstractNumId="81">
    <w:nsid w:val="415E286C"/>
    <w:multiLevelType w:val="hybridMultilevel"/>
    <w:lvl w:ilvl="0">
      <w:lvlJc w:val="left"/>
      <w:lvlText w:val="(%1)"/>
      <w:numFmt w:val="lowerLetter"/>
      <w:start w:val="10"/>
    </w:lvl>
  </w:abstractNum>
  <w:abstractNum w:abstractNumId="82">
    <w:nsid w:val="7C58FD05"/>
    <w:multiLevelType w:val="hybridMultilevel"/>
    <w:lvl w:ilvl="0">
      <w:lvlJc w:val="left"/>
      <w:lvlText w:val="(%1)"/>
      <w:numFmt w:val="lowerLetter"/>
      <w:start w:val="1"/>
    </w:lvl>
  </w:abstractNum>
  <w:abstractNum w:abstractNumId="83">
    <w:nsid w:val="23D86AAC"/>
    <w:multiLevelType w:val="hybridMultilevel"/>
    <w:lvl w:ilvl="0">
      <w:lvlJc w:val="left"/>
      <w:lvlText w:val="(%1)"/>
      <w:numFmt w:val="lowerLetter"/>
      <w:start w:val="1"/>
    </w:lvl>
  </w:abstractNum>
  <w:abstractNum w:abstractNumId="84">
    <w:nsid w:val="45E6D486"/>
    <w:multiLevelType w:val="hybridMultilevel"/>
    <w:lvl w:ilvl="0">
      <w:lvlJc w:val="left"/>
      <w:lvlText w:val="(%1)"/>
      <w:numFmt w:val="lowerLetter"/>
      <w:start w:val="1"/>
    </w:lvl>
  </w:abstractNum>
  <w:abstractNum w:abstractNumId="85">
    <w:nsid w:val="5C10FE21"/>
    <w:multiLevelType w:val="hybridMultilevel"/>
    <w:lvl w:ilvl="0">
      <w:lvlJc w:val="left"/>
      <w:lvlText w:val="(%1)"/>
      <w:numFmt w:val="lowerLetter"/>
      <w:start w:val="2"/>
    </w:lvl>
    <w:lvl w:ilvl="1">
      <w:lvlJc w:val="left"/>
      <w:lvlText w:val="(%2)"/>
      <w:numFmt w:val="lowerRoman"/>
      <w:start w:val="1"/>
    </w:lvl>
  </w:abstractNum>
  <w:abstractNum w:abstractNumId="86">
    <w:nsid w:val="E7FFA2B"/>
    <w:multiLevelType w:val="hybridMultilevel"/>
    <w:lvl w:ilvl="0">
      <w:lvlJc w:val="left"/>
      <w:lvlText w:val="(%1)"/>
      <w:numFmt w:val="lowerLetter"/>
      <w:start w:val="3"/>
    </w:lvl>
  </w:abstractNum>
  <w:abstractNum w:abstractNumId="87">
    <w:nsid w:val="3C5991AA"/>
    <w:multiLevelType w:val="hybridMultilevel"/>
    <w:lvl w:ilvl="0">
      <w:lvlJc w:val="left"/>
      <w:lvlText w:val="(%1)"/>
      <w:numFmt w:val="lowerLetter"/>
      <w:start w:val="1"/>
    </w:lvl>
  </w:abstractNum>
  <w:abstractNum w:abstractNumId="88">
    <w:nsid w:val="4BD8591A"/>
    <w:multiLevelType w:val="hybridMultilevel"/>
    <w:lvl w:ilvl="0">
      <w:lvlJc w:val="left"/>
      <w:lvlText w:val="(%1)"/>
      <w:numFmt w:val="lowerLetter"/>
      <w:start w:val="4"/>
    </w:lvl>
  </w:abstractNum>
  <w:abstractNum w:abstractNumId="89">
    <w:nsid w:val="78DF6A55"/>
    <w:multiLevelType w:val="hybridMultilevel"/>
    <w:lvl w:ilvl="0">
      <w:lvlJc w:val="left"/>
      <w:lvlText w:val="(%1)"/>
      <w:numFmt w:val="lowerLetter"/>
      <w:start w:val="1"/>
    </w:lvl>
  </w:abstractNum>
  <w:abstractNum w:abstractNumId="90">
    <w:nsid w:val="39B7AAA2"/>
    <w:multiLevelType w:val="hybridMultilevel"/>
    <w:lvl w:ilvl="0">
      <w:lvlJc w:val="left"/>
      <w:lvlText w:val="(%1)"/>
      <w:numFmt w:val="lowerLetter"/>
      <w:start w:val="2"/>
    </w:lvl>
  </w:abstractNum>
  <w:abstractNum w:abstractNumId="91">
    <w:nsid w:val="2B0D8DBE"/>
    <w:multiLevelType w:val="hybridMultilevel"/>
    <w:lvl w:ilvl="0">
      <w:lvlJc w:val="left"/>
      <w:lvlText w:val="(%1)"/>
      <w:numFmt w:val="lowerLetter"/>
      <w:start w:val="1"/>
    </w:lvl>
  </w:abstractNum>
  <w:abstractNum w:abstractNumId="92">
    <w:nsid w:val="6C80EC70"/>
    <w:multiLevelType w:val="hybridMultilevel"/>
    <w:lvl w:ilvl="0">
      <w:lvlJc w:val="left"/>
      <w:lvlText w:val="(%1)"/>
      <w:numFmt w:val="lowerLetter"/>
      <w:start w:val="8"/>
    </w:lvl>
  </w:abstractNum>
  <w:abstractNum w:abstractNumId="93">
    <w:nsid w:val="379E21B5"/>
    <w:multiLevelType w:val="hybridMultilevel"/>
    <w:lvl w:ilvl="0">
      <w:lvlJc w:val="left"/>
      <w:lvlText w:val="(%1)"/>
      <w:numFmt w:val="lowerLetter"/>
      <w:start w:val="1"/>
    </w:lvl>
  </w:abstractNum>
  <w:abstractNum w:abstractNumId="94">
    <w:nsid w:val="69E373"/>
    <w:multiLevelType w:val="hybridMultilevel"/>
    <w:lvl w:ilvl="0">
      <w:lvlJc w:val="left"/>
      <w:lvlText w:val="(%1)"/>
      <w:numFmt w:val="lowerLetter"/>
      <w:start w:val="2"/>
    </w:lvl>
  </w:abstractNum>
  <w:abstractNum w:abstractNumId="95">
    <w:nsid w:val="2C27173B"/>
    <w:multiLevelType w:val="hybridMultilevel"/>
    <w:lvl w:ilvl="0">
      <w:lvlJc w:val="left"/>
      <w:lvlText w:val="%1"/>
      <w:numFmt w:val="lowerLetter"/>
      <w:start w:val="1"/>
    </w:lvl>
    <w:lvl w:ilvl="1">
      <w:lvlJc w:val="left"/>
      <w:lvlText w:val="(%2)"/>
      <w:numFmt w:val="lowerLetter"/>
      <w:start w:val="1"/>
    </w:lvl>
  </w:abstractNum>
  <w:abstractNum w:abstractNumId="96">
    <w:nsid w:val="4C9B0904"/>
    <w:multiLevelType w:val="hybridMultilevel"/>
    <w:lvl w:ilvl="0">
      <w:lvlJc w:val="left"/>
      <w:lvlText w:val="(%1)"/>
      <w:numFmt w:val="lowerLetter"/>
      <w:start w:val="61"/>
    </w:lvl>
    <w:lvl w:ilvl="1">
      <w:lvlJc w:val="left"/>
      <w:lvlText w:val="%2"/>
      <w:numFmt w:val="lowerLetter"/>
      <w:start w:val="1"/>
    </w:lvl>
  </w:abstractNum>
  <w:abstractNum w:abstractNumId="97">
    <w:nsid w:val="6AA7B75C"/>
    <w:multiLevelType w:val="hybridMultilevel"/>
    <w:lvl w:ilvl="0">
      <w:lvlJc w:val="left"/>
      <w:lvlText w:val="(%1)"/>
      <w:numFmt w:val="decimal"/>
      <w:start w:val="1"/>
    </w:lvl>
  </w:abstractNum>
  <w:abstractNum w:abstractNumId="98">
    <w:nsid w:val="1DF029D3"/>
    <w:multiLevelType w:val="hybridMultilevel"/>
    <w:lvl w:ilvl="0">
      <w:lvlJc w:val="left"/>
      <w:lvlText w:val="(%1)"/>
      <w:numFmt w:val="lowerLetter"/>
      <w:start w:val="1"/>
    </w:lvl>
  </w:abstractNum>
  <w:abstractNum w:abstractNumId="99">
    <w:nsid w:val="5675FF36"/>
    <w:multiLevelType w:val="hybridMultilevel"/>
    <w:lvl w:ilvl="0">
      <w:lvlJc w:val="left"/>
      <w:lvlText w:val="(%1)"/>
      <w:numFmt w:val="lowerLetter"/>
      <w:start w:val="2"/>
    </w:lvl>
  </w:abstractNum>
  <w:abstractNum w:abstractNumId="100">
    <w:nsid w:val="3DD15094"/>
    <w:multiLevelType w:val="hybridMultilevel"/>
    <w:lvl w:ilvl="0">
      <w:lvlJc w:val="left"/>
      <w:lvlText w:val="(%1)"/>
      <w:numFmt w:val="lowerLetter"/>
      <w:start w:val="1"/>
    </w:lvl>
  </w:abstractNum>
  <w:abstractNum w:abstractNumId="101">
    <w:nsid w:val="3DB012B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2">
    <w:nsid w:val="2708C9AF"/>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03">
    <w:nsid w:val="5B25ACE2"/>
    <w:multiLevelType w:val="hybridMultilevel"/>
    <w:lvl w:ilvl="0">
      <w:lvlJc w:val="left"/>
      <w:lvlText w:val="(%1)"/>
      <w:numFmt w:val="lowerLetter"/>
      <w:start w:val="4"/>
    </w:lvl>
  </w:abstractNum>
  <w:abstractNum w:abstractNumId="104">
    <w:nsid w:val="175DFCF0"/>
    <w:multiLevelType w:val="hybridMultilevel"/>
    <w:lvl w:ilvl="0">
      <w:lvlJc w:val="left"/>
      <w:lvlText w:val="(%1)"/>
      <w:numFmt w:val="lowerLetter"/>
      <w:start w:val="24"/>
    </w:lvl>
  </w:abstractNum>
  <w:abstractNum w:abstractNumId="105">
    <w:nsid w:val="4F97E3E4"/>
    <w:multiLevelType w:val="hybridMultilevel"/>
    <w:lvl w:ilvl="0">
      <w:lvlJc w:val="left"/>
      <w:lvlText w:val="(%1)"/>
      <w:numFmt w:val="lowerLetter"/>
      <w:start w:val="26"/>
    </w:lvl>
  </w:abstractNum>
  <w:abstractNum w:abstractNumId="106">
    <w:nsid w:val="53B0A9E"/>
    <w:multiLevelType w:val="hybridMultilevel"/>
    <w:lvl w:ilvl="0">
      <w:lvlJc w:val="left"/>
      <w:lvlText w:val="(%1)"/>
      <w:numFmt w:val="lowerLetter"/>
      <w:start w:val="1"/>
    </w:lvl>
  </w:abstractNum>
  <w:abstractNum w:abstractNumId="107">
    <w:nsid w:val="34FD6B4F"/>
    <w:multiLevelType w:val="hybridMultilevel"/>
    <w:lvl w:ilvl="0">
      <w:lvlJc w:val="left"/>
      <w:lvlText w:val="(%1)"/>
      <w:numFmt w:val="lowerLetter"/>
      <w:start w:val="4"/>
    </w:lvl>
  </w:abstractNum>
  <w:abstractNum w:abstractNumId="108">
    <w:nsid w:val="5915FF32"/>
    <w:multiLevelType w:val="hybridMultilevel"/>
    <w:lvl w:ilvl="0">
      <w:lvlJc w:val="left"/>
      <w:lvlText w:val="(%1)"/>
      <w:numFmt w:val="lowerLetter"/>
      <w:start w:val="1"/>
    </w:lvl>
  </w:abstractNum>
  <w:abstractNum w:abstractNumId="109">
    <w:nsid w:val="56438D15"/>
    <w:multiLevelType w:val="hybridMultilevel"/>
    <w:lvl w:ilvl="0">
      <w:lvlJc w:val="left"/>
      <w:lvlText w:val="(%1)"/>
      <w:numFmt w:val="lowerLetter"/>
      <w:start w:val="6"/>
    </w:lvl>
  </w:abstractNum>
  <w:abstractNum w:abstractNumId="110">
    <w:nsid w:val="519E3149"/>
    <w:multiLevelType w:val="hybridMultilevel"/>
    <w:lvl w:ilvl="0">
      <w:lvlJc w:val="left"/>
      <w:lvlText w:val="(%1)"/>
      <w:numFmt w:val="lowerLetter"/>
      <w:start w:val="1"/>
    </w:lvl>
  </w:abstractNum>
  <w:abstractNum w:abstractNumId="111">
    <w:nsid w:val="2C6E4AFD"/>
    <w:multiLevelType w:val="hybridMultilevel"/>
    <w:lvl w:ilvl="0">
      <w:lvlJc w:val="left"/>
      <w:lvlText w:val="(%1)"/>
      <w:numFmt w:val="lowerLetter"/>
      <w:start w:val="4"/>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lowerLetter"/>
      <w:start w:val="2"/>
    </w:lvl>
  </w:abstractNum>
  <w:abstractNum w:abstractNumId="115">
    <w:nsid w:val="5D888A08"/>
    <w:multiLevelType w:val="hybridMultilevel"/>
    <w:lvl w:ilvl="0">
      <w:lvlJc w:val="left"/>
      <w:lvlText w:val="(%1)"/>
      <w:numFmt w:val="lowerLetter"/>
      <w:start w:val="1"/>
    </w:lvl>
  </w:abstractNum>
  <w:abstractNum w:abstractNumId="116">
    <w:nsid w:val="2A082C70"/>
    <w:multiLevelType w:val="hybridMultilevel"/>
    <w:lvl w:ilvl="0">
      <w:lvlJc w:val="left"/>
      <w:lvlText w:val="(%1)"/>
      <w:numFmt w:val="lowerLetter"/>
      <w:start w:val="2"/>
    </w:lvl>
    <w:lvl w:ilvl="1">
      <w:lvlJc w:val="left"/>
      <w:lvlText w:val="(%2)"/>
      <w:numFmt w:val="lowerRoman"/>
      <w:start w:val="1"/>
    </w:lvl>
  </w:abstractNum>
  <w:abstractNum w:abstractNumId="117">
    <w:nsid w:val="5EC6AFD4"/>
    <w:multiLevelType w:val="hybridMultilevel"/>
    <w:lvl w:ilvl="0">
      <w:lvlJc w:val="left"/>
      <w:lvlText w:val="(%1)"/>
      <w:numFmt w:val="lowerLetter"/>
      <w:start w:val="4"/>
    </w:lvl>
  </w:abstractNum>
  <w:abstractNum w:abstractNumId="118">
    <w:nsid w:val="19E21BB2"/>
    <w:multiLevelType w:val="hybridMultilevel"/>
    <w:lvl w:ilvl="0">
      <w:lvlJc w:val="left"/>
      <w:lvlText w:val="(%1)"/>
      <w:numFmt w:val="lowerLetter"/>
      <w:start w:val="8"/>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lowerLetter"/>
      <w:start w:val="3"/>
    </w:lvl>
  </w:abstractNum>
  <w:abstractNum w:abstractNumId="121">
    <w:nsid w:val="5399C654"/>
    <w:multiLevelType w:val="hybridMultilevel"/>
    <w:lvl w:ilvl="0">
      <w:lvlJc w:val="left"/>
      <w:lvlText w:val="(%1)"/>
      <w:numFmt w:val="lowerLetter"/>
      <w:start w:val="1"/>
    </w:lvl>
  </w:abstractNum>
  <w:abstractNum w:abstractNumId="122">
    <w:nsid w:val="20EE1348"/>
    <w:multiLevelType w:val="hybridMultilevel"/>
    <w:lvl w:ilvl="0">
      <w:lvlJc w:val="left"/>
      <w:lvlText w:val="(%1)"/>
      <w:numFmt w:val="lowerLetter"/>
      <w:start w:val="6"/>
    </w:lvl>
  </w:abstractNum>
  <w:abstractNum w:abstractNumId="123">
    <w:nsid w:val="4427069A"/>
    <w:multiLevelType w:val="hybridMultilevel"/>
    <w:lvl w:ilvl="0">
      <w:lvlJc w:val="left"/>
      <w:lvlText w:val="(%1)"/>
      <w:numFmt w:val="lowerLetter"/>
      <w:start w:val="1"/>
    </w:lvl>
  </w:abstractNum>
  <w:abstractNum w:abstractNumId="124">
    <w:nsid w:val="B37E80A"/>
    <w:multiLevelType w:val="hybridMultilevel"/>
    <w:lvl w:ilvl="0">
      <w:lvlJc w:val="left"/>
      <w:lvlText w:val="(%1)"/>
      <w:numFmt w:val="lowerLetter"/>
      <w:start w:val="3"/>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1)"/>
      <w:numFmt w:val="lowerLetter"/>
      <w:start w:val="1"/>
    </w:lvl>
  </w:abstractNum>
  <w:abstractNum w:abstractNumId="127">
    <w:nsid w:val="57D2F10E"/>
    <w:multiLevelType w:val="hybridMultilevel"/>
    <w:lvl w:ilvl="0">
      <w:lvlJc w:val="left"/>
      <w:lvlText w:val="(%1)"/>
      <w:numFmt w:val="lowerLetter"/>
      <w:start w:val="4"/>
    </w:lvl>
  </w:abstractNum>
  <w:abstractNum w:abstractNumId="128">
    <w:nsid w:val="BFFAE18"/>
    <w:multiLevelType w:val="hybridMultilevel"/>
    <w:lvl w:ilvl="0">
      <w:lvlJc w:val="left"/>
      <w:lvlText w:val="(%1)"/>
      <w:numFmt w:val="lowerLetter"/>
      <w:start w:val="1"/>
    </w:lvl>
  </w:abstractNum>
  <w:abstractNum w:abstractNumId="129">
    <w:nsid w:val="E3E47A8"/>
    <w:multiLevelType w:val="hybridMultilevel"/>
    <w:lvl w:ilvl="0">
      <w:lvlJc w:val="left"/>
      <w:lvlText w:val="(%1)"/>
      <w:numFmt w:val="lowerLetter"/>
      <w:start w:val="3"/>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2"/>
    </w:lvl>
  </w:abstractNum>
  <w:abstractNum w:abstractNumId="132">
    <w:nsid w:val="4BEE5A5B"/>
    <w:multiLevelType w:val="hybridMultilevel"/>
    <w:lvl w:ilvl="0">
      <w:lvlJc w:val="left"/>
      <w:lvlText w:val="[•]"/>
      <w:numFmt w:val="bullet"/>
      <w:start w:val="1"/>
    </w:lvl>
  </w:abstractNum>
  <w:abstractNum w:abstractNumId="133">
    <w:nsid w:val="5551B9F3"/>
    <w:multiLevelType w:val="hybridMultilevel"/>
    <w:lvl w:ilvl="0">
      <w:lvlJc w:val="left"/>
      <w:lvlText w:val="(%1)"/>
      <w:numFmt w:val="lowerRoman"/>
      <w:start w:val="2"/>
    </w:lvl>
    <w:lvl w:ilvl="1">
      <w:lvlJc w:val="left"/>
      <w:lvlText w:val="•"/>
      <w:numFmt w:val="bullet"/>
      <w:start w:val="1"/>
    </w:lvl>
  </w:abstractNum>
  <w:abstractNum w:abstractNumId="134">
    <w:nsid w:val="24F6AB8E"/>
    <w:multiLevelType w:val="hybridMultilevel"/>
    <w:lvl w:ilvl="0">
      <w:lvlJc w:val="left"/>
      <w:lvlText w:val="%1."/>
      <w:numFmt w:val="decimal"/>
      <w:start w:val="1"/>
    </w:lvl>
  </w:abstractNum>
  <w:abstractNum w:abstractNumId="135">
    <w:nsid w:val="634C574C"/>
    <w:multiLevelType w:val="hybridMultilevel"/>
    <w:lvl w:ilvl="0">
      <w:lvlJc w:val="left"/>
      <w:lvlText w:val="%1."/>
      <w:numFmt w:val="decimal"/>
      <w:start w:val="4"/>
    </w:lvl>
  </w:abstractNum>
  <w:abstractNum w:abstractNumId="136">
    <w:nsid w:val="24E99DD7"/>
    <w:multiLevelType w:val="hybridMultilevel"/>
    <w:lvl w:ilvl="0">
      <w:lvlJc w:val="left"/>
      <w:lvlText w:val="%1."/>
      <w:numFmt w:val="decimal"/>
      <w:start w:val="6"/>
    </w:lvl>
  </w:abstractNum>
  <w:abstractNum w:abstractNumId="137">
    <w:nsid w:val="2A31B62D"/>
    <w:multiLevelType w:val="hybridMultilevel"/>
    <w:lvl w:ilvl="0">
      <w:lvlJc w:val="left"/>
      <w:lvlText w:val="1"/>
      <w:numFmt w:val="bullet"/>
      <w:start w:val="1"/>
    </w:lvl>
  </w:abstractNum>
  <w:abstractNum w:abstractNumId="138">
    <w:nsid w:val="1849C29B"/>
    <w:multiLevelType w:val="hybridMultilevel"/>
    <w:lvl w:ilvl="0">
      <w:lvlJc w:val="left"/>
      <w:lvlText w:val="2"/>
      <w:numFmt w:val="bullet"/>
      <w:start w:val="1"/>
    </w:lvl>
  </w:abstractNum>
  <w:abstractNum w:abstractNumId="139">
    <w:nsid w:val="7DFF9D09"/>
    <w:multiLevelType w:val="hybridMultilevel"/>
    <w:lvl w:ilvl="0">
      <w:lvlJc w:val="left"/>
      <w:lvlText w:val="3"/>
      <w:numFmt w:val="bullet"/>
      <w:start w:val="1"/>
    </w:lvl>
  </w:abstractNum>
  <w:abstractNum w:abstractNumId="140">
    <w:nsid w:val="75434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jpe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jpe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jpe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jpeg"/><Relationship Id="rId335" Type="http://schemas.openxmlformats.org/officeDocument/2006/relationships/image" Target="media/image319.png"/><Relationship Id="rId336" Type="http://schemas.openxmlformats.org/officeDocument/2006/relationships/image" Target="media/image320.jpeg"/><Relationship Id="rId337" Type="http://schemas.openxmlformats.org/officeDocument/2006/relationships/image" Target="media/image321.png"/><Relationship Id="rId338" Type="http://schemas.openxmlformats.org/officeDocument/2006/relationships/image" Target="media/image322.jpeg"/><Relationship Id="rId339" Type="http://schemas.openxmlformats.org/officeDocument/2006/relationships/image" Target="media/image323.png"/><Relationship Id="rId340" Type="http://schemas.openxmlformats.org/officeDocument/2006/relationships/image" Target="media/image324.jpeg"/><Relationship Id="rId341" Type="http://schemas.openxmlformats.org/officeDocument/2006/relationships/image" Target="media/image325.png"/><Relationship Id="rId342" Type="http://schemas.openxmlformats.org/officeDocument/2006/relationships/image" Target="media/image326.jpe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70" Type="http://schemas.openxmlformats.org/officeDocument/2006/relationships/hyperlink" Target="http://www.sec.gov/ix?doc=/Archives/edgar/data/1528115/000119312526131782/annx-20251231.htm" TargetMode="External"/><Relationship Id="rId72" Type="http://schemas.openxmlformats.org/officeDocument/2006/relationships/hyperlink" Target="http://www.sec.gov/ix?doc=/Archives/edgar/data/1528115/000119312526009740/d75965d8k.htm" TargetMode="External"/><Relationship Id="rId73" Type="http://schemas.openxmlformats.org/officeDocument/2006/relationships/hyperlink" Target="http://www.sec.gov/ix?doc=/Archives/edgar/data/1528115/000119312526054695/d21497d8k.htm" TargetMode="External"/><Relationship Id="rId74" Type="http://schemas.openxmlformats.org/officeDocument/2006/relationships/hyperlink" Target="http://www.sec.gov/Archives/edgar/data/1528115/000119312520196463/d90014d8a12b.htm" TargetMode="External"/><Relationship Id="rId75" Type="http://schemas.openxmlformats.org/officeDocument/2006/relationships/hyperlink" Target="http://www.sec.gov/Archives/edgar/data/1528115/000119312526131782/annx-ex4_3.htm" TargetMode="External"/><Relationship Id="rId125" Type="http://schemas.openxmlformats.org/officeDocument/2006/relationships/hyperlink" Target="http://www.sec.gov/Archives/edgar/data/1528115/000119312526131782/annx-ex10_16.htm" TargetMode="External"/><Relationship Id="rId126" Type="http://schemas.openxmlformats.org/officeDocument/2006/relationships/hyperlink" Target="http://www.sec.gov/Archives/edgar/data/1528115/000119312520201003/d75304dex31.htm" TargetMode="External"/><Relationship Id="rId127" Type="http://schemas.openxmlformats.org/officeDocument/2006/relationships/hyperlink" Target="http://www.sec.gov/Archives/edgar/data/1528115/000119312520201003/d75304dex32.htm" TargetMode="External"/><Relationship Id="rId128" Type="http://schemas.openxmlformats.org/officeDocument/2006/relationships/hyperlink" Target="http://www.sec.gov/Archives/edgar/data/1528115/000119312520186799/d77351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2026-03-31T05:33:33Z</dcterms:created>
  <dcterms:modified xsi:type="dcterms:W3CDTF">2026-03-31T05:33:33Z</dcterms:modified>
</cp:coreProperties>
</file>